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8"/>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68"/>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68"/>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6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68"/>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6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6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68"/>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68"/>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前黄镇2025年土地复垦项目土壤压实承载力检测</w:t>
      </w:r>
      <w:r>
        <w:rPr>
          <w:rFonts w:ascii="宋体" w:hAnsi="宋体"/>
          <w:bCs/>
          <w:color w:val="000000"/>
          <w:sz w:val="36"/>
          <w:szCs w:val="36"/>
          <w:highlight w:val="none"/>
        </w:rPr>
      </w:r>
      <w:r/>
    </w:p>
    <w:p>
      <w:pPr>
        <w:pStyle w:val="1068"/>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项目编号/包号：JSZC-320412-CTZB-G2026-0001</w:t>
      </w:r>
      <w:r>
        <w:rPr>
          <w:rFonts w:ascii="宋体" w:hAnsi="宋体"/>
          <w:bCs/>
          <w:color w:val="000000"/>
          <w:sz w:val="36"/>
          <w:szCs w:val="36"/>
          <w:highlight w:val="none"/>
        </w:rPr>
      </w:r>
      <w:r/>
    </w:p>
    <w:p>
      <w:pPr>
        <w:pStyle w:val="1068"/>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常州市武进区前黄镇人民政府</w:t>
      </w:r>
      <w:r>
        <w:rPr>
          <w:rFonts w:ascii="宋体" w:hAnsi="宋体"/>
          <w:bCs/>
          <w:color w:val="000000"/>
          <w:sz w:val="36"/>
          <w:szCs w:val="36"/>
          <w:highlight w:val="none"/>
        </w:rPr>
      </w:r>
      <w:r/>
    </w:p>
    <w:p>
      <w:pPr>
        <w:pStyle w:val="1068"/>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68"/>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68"/>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68"/>
        <w:rPr>
          <w:rFonts w:ascii="宋体" w:hAnsi="宋体"/>
          <w:color w:val="000000"/>
          <w:highlight w:val="none"/>
        </w:rPr>
      </w:pPr>
      <w:r>
        <w:rPr>
          <w:rFonts w:ascii="宋体" w:hAnsi="宋体"/>
          <w:color w:val="000000"/>
          <w:highlight w:val="none"/>
        </w:rPr>
      </w:r>
      <w:r/>
    </w:p>
    <w:p>
      <w:pPr>
        <w:pStyle w:val="1068"/>
        <w:rPr>
          <w:rFonts w:ascii="宋体" w:hAnsi="宋体"/>
          <w:color w:val="000000"/>
          <w:highlight w:val="none"/>
        </w:rPr>
      </w:pPr>
      <w:r>
        <w:rPr>
          <w:rFonts w:ascii="宋体" w:hAnsi="宋体"/>
          <w:color w:val="000000"/>
          <w:highlight w:val="none"/>
        </w:rPr>
      </w:r>
      <w:r/>
    </w:p>
    <w:p>
      <w:pPr>
        <w:pStyle w:val="1068"/>
        <w:rPr>
          <w:rFonts w:ascii="宋体" w:hAnsi="宋体"/>
          <w:color w:val="000000"/>
          <w:highlight w:val="none"/>
        </w:rPr>
      </w:pPr>
      <w:r>
        <w:rPr>
          <w:rFonts w:ascii="宋体" w:hAnsi="宋体"/>
          <w:color w:val="000000"/>
          <w:highlight w:val="none"/>
        </w:rPr>
      </w:r>
      <w:r/>
    </w:p>
    <w:p>
      <w:pPr>
        <w:pStyle w:val="1120"/>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3"/>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3"/>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6</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3"/>
          <w:color w:val="000000"/>
          <w:sz w:val="32"/>
          <w:szCs w:val="32"/>
          <w:highlight w:val="none"/>
        </w:rPr>
        <w:t xml:space="preserve">第三章   资</w:t>
      </w:r>
      <w:bookmarkStart w:id="1" w:name="_Hlt100754117"/>
      <w:r>
        <w:rPr>
          <w:rStyle w:val="1143"/>
          <w:color w:val="000000"/>
          <w:sz w:val="32"/>
          <w:szCs w:val="32"/>
          <w:highlight w:val="none"/>
        </w:rPr>
        <w:t xml:space="preserve">格</w:t>
      </w:r>
      <w:bookmarkEnd w:id="1"/>
      <w:r>
        <w:rPr>
          <w:rStyle w:val="1143"/>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20</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3"/>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3"/>
          <w:color w:val="000000"/>
          <w:sz w:val="32"/>
          <w:szCs w:val="32"/>
          <w:highlight w:val="none"/>
        </w:rPr>
        <w:t xml:space="preserve">第五章   采购</w:t>
      </w:r>
      <w:bookmarkStart w:id="2" w:name="_Hlt100754102"/>
      <w:r/>
      <w:bookmarkStart w:id="3" w:name="_Hlt100754103"/>
      <w:r>
        <w:rPr>
          <w:rStyle w:val="1143"/>
          <w:color w:val="000000"/>
          <w:sz w:val="32"/>
          <w:szCs w:val="32"/>
          <w:highlight w:val="none"/>
        </w:rPr>
        <w:t xml:space="preserve">需</w:t>
      </w:r>
      <w:bookmarkEnd w:id="2"/>
      <w:r/>
      <w:bookmarkEnd w:id="3"/>
      <w:r>
        <w:rPr>
          <w:rStyle w:val="1143"/>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30</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3"/>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33</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3"/>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36</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0"/>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68"/>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68"/>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sz w:val="32"/>
          <w:szCs w:val="32"/>
          <w:highlight w:val="none"/>
        </w:rPr>
        <w:t xml:space="preserve">前黄镇2025年土地复垦项目土壤压实承载力检测</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color w:val="000000"/>
          <w:sz w:val="32"/>
          <w:szCs w:val="32"/>
          <w:highlight w:val="none"/>
        </w:rPr>
        <w:t xml:space="preserve">2</w:t>
      </w:r>
      <w:r>
        <w:rPr>
          <w:rFonts w:ascii="仿宋" w:hAnsi="仿宋" w:eastAsia="仿宋"/>
          <w:b/>
          <w:color w:val="000000"/>
          <w:sz w:val="32"/>
          <w:szCs w:val="32"/>
          <w:highlight w:val="none"/>
        </w:rPr>
        <w:t xml:space="preserve">026</w:t>
      </w:r>
      <w:r>
        <w:rPr>
          <w:rFonts w:hint="eastAsia" w:ascii="仿宋" w:hAnsi="仿宋" w:eastAsia="仿宋" w:cs="宋体"/>
          <w:b/>
          <w:bCs/>
          <w:color w:val="000000"/>
          <w:sz w:val="32"/>
          <w:szCs w:val="32"/>
          <w:highlight w:val="none"/>
        </w:rPr>
        <w:t xml:space="preserve">年0</w:t>
      </w:r>
      <w:r>
        <w:rPr>
          <w:rFonts w:ascii="仿宋" w:hAnsi="仿宋" w:eastAsia="仿宋" w:cs="宋体"/>
          <w:b/>
          <w:bCs/>
          <w:color w:val="000000"/>
          <w:sz w:val="32"/>
          <w:szCs w:val="32"/>
          <w:highlight w:val="none"/>
        </w:rPr>
        <w:t xml:space="preserve">1</w:t>
      </w:r>
      <w:r>
        <w:rPr>
          <w:rFonts w:hint="eastAsia" w:ascii="仿宋" w:hAnsi="仿宋" w:eastAsia="仿宋" w:cs="宋体"/>
          <w:b/>
          <w:bCs/>
          <w:color w:val="000000"/>
          <w:sz w:val="32"/>
          <w:szCs w:val="32"/>
          <w:highlight w:val="none"/>
        </w:rPr>
        <w:t xml:space="preserve">月2</w:t>
      </w:r>
      <w:r>
        <w:rPr>
          <w:rFonts w:ascii="仿宋" w:hAnsi="仿宋" w:eastAsia="仿宋" w:cs="宋体"/>
          <w:b/>
          <w:bCs/>
          <w:color w:val="000000"/>
          <w:sz w:val="32"/>
          <w:szCs w:val="32"/>
          <w:highlight w:val="none"/>
        </w:rPr>
        <w:t xml:space="preserve">6</w:t>
      </w:r>
      <w:r>
        <w:rPr>
          <w:rFonts w:hint="eastAsia" w:ascii="仿宋" w:hAnsi="仿宋" w:eastAsia="仿宋" w:cs="宋体"/>
          <w:b/>
          <w:bCs/>
          <w:color w:val="000000"/>
          <w:sz w:val="32"/>
          <w:szCs w:val="32"/>
          <w:highlight w:val="none"/>
        </w:rPr>
        <w:t xml:space="preserve">日1</w:t>
      </w:r>
      <w:r>
        <w:rPr>
          <w:rFonts w:ascii="仿宋" w:hAnsi="仿宋" w:eastAsia="仿宋" w:cs="宋体"/>
          <w:b/>
          <w:bCs/>
          <w:color w:val="000000"/>
          <w:sz w:val="32"/>
          <w:szCs w:val="32"/>
          <w:highlight w:val="none"/>
        </w:rPr>
        <w:t xml:space="preserve">4</w:t>
      </w:r>
      <w:r>
        <w:rPr>
          <w:rFonts w:hint="eastAsia" w:ascii="仿宋" w:hAnsi="仿宋" w:eastAsia="仿宋" w:cs="宋体"/>
          <w:b/>
          <w:bCs/>
          <w:color w:val="000000"/>
          <w:sz w:val="32"/>
          <w:szCs w:val="32"/>
          <w:highlight w:val="none"/>
        </w:rPr>
        <w:t xml:space="preserve">点0</w:t>
      </w:r>
      <w:r>
        <w:rPr>
          <w:rFonts w:ascii="仿宋" w:hAnsi="仿宋" w:eastAsia="仿宋" w:cs="宋体"/>
          <w:b/>
          <w:bCs/>
          <w:color w:val="000000"/>
          <w:sz w:val="32"/>
          <w:szCs w:val="32"/>
          <w:highlight w:val="none"/>
        </w:rPr>
        <w:t xml:space="preserve">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0"/>
        <w:ind w:firstLine="643"/>
        <w:jc w:val="left"/>
        <w:spacing w:before="240" w:line="360" w:lineRule="auto"/>
        <w:rPr>
          <w:rFonts w:ascii="仿宋" w:hAnsi="仿宋" w:eastAsia="仿宋"/>
          <w:color w:val="000000"/>
          <w:sz w:val="32"/>
          <w:szCs w:val="32"/>
          <w:highlight w:val="none"/>
        </w:rPr>
      </w:pPr>
      <w:r/>
      <w:bookmarkStart w:id="5" w:name="_Toc28359079"/>
      <w:r/>
      <w:bookmarkStart w:id="6" w:name="_Toc28359002"/>
      <w:r/>
      <w:bookmarkStart w:id="7" w:name="_Toc35393621"/>
      <w:r/>
      <w:bookmarkStart w:id="8" w:name="_Toc35393790"/>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1.项目编号/包号：JSZC-320412-CTZB-G2026-0001</w:t>
      </w:r>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前黄镇2025年土地复垦项目土壤压实承载力检测</w:t>
      </w:r>
      <w:r>
        <w:rPr>
          <w:rFonts w:ascii="仿宋" w:hAnsi="仿宋" w:eastAsia="仿宋"/>
          <w:color w:val="000000"/>
          <w:sz w:val="32"/>
          <w:szCs w:val="32"/>
          <w:highlight w:val="none"/>
        </w:rPr>
      </w:r>
      <w:r/>
    </w:p>
    <w:p>
      <w:pPr>
        <w:pStyle w:val="1068"/>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3.项目预算金额：200万元</w:t>
      </w:r>
      <w:r>
        <w:rPr>
          <w:rFonts w:hint="eastAsia"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项目最高限价（如有）：200万元</w:t>
      </w:r>
      <w:r>
        <w:rPr>
          <w:rFonts w:ascii="仿宋" w:hAnsi="仿宋" w:eastAsia="仿宋"/>
          <w:color w:val="000000"/>
          <w:sz w:val="32"/>
          <w:szCs w:val="32"/>
          <w:highlight w:val="none"/>
        </w:rPr>
      </w:r>
      <w:r/>
    </w:p>
    <w:p>
      <w:pPr>
        <w:pStyle w:val="1068"/>
        <w:ind w:firstLine="640"/>
        <w:spacing w:line="360" w:lineRule="auto"/>
        <w:rPr>
          <w:rFonts w:ascii="仿宋" w:hAnsi="仿宋" w:eastAsia="仿宋" w:cs="宋体"/>
          <w:b/>
          <w:color w:val="000000"/>
          <w:spacing w:val="2"/>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hint="eastAsia" w:ascii="仿宋" w:hAnsi="仿宋" w:eastAsia="仿宋"/>
          <w:color w:val="000000"/>
          <w:sz w:val="32"/>
          <w:szCs w:val="32"/>
          <w:highlight w:val="none"/>
        </w:rPr>
        <w:t xml:space="preserve">本项目为前黄镇2025年土地复垦项目土壤压实承载力检测，项目涉及面积约2500亩。</w:t>
      </w:r>
      <w:r>
        <w:rPr>
          <w:rFonts w:ascii="仿宋" w:hAnsi="仿宋" w:eastAsia="仿宋" w:cs="宋体"/>
          <w:b/>
          <w:color w:val="000000"/>
          <w:spacing w:val="2"/>
          <w:sz w:val="32"/>
          <w:szCs w:val="32"/>
          <w:highlight w:val="none"/>
        </w:rPr>
      </w:r>
      <w:r/>
    </w:p>
    <w:p>
      <w:pPr>
        <w:pStyle w:val="1068"/>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合同履行期限：本项目分批分片实施，具备实施条件后45个日历天内完成。</w:t>
      </w:r>
      <w:r>
        <w:rPr>
          <w:rFonts w:ascii="仿宋" w:hAnsi="仿宋" w:eastAsia="仿宋"/>
          <w:color w:val="000000"/>
          <w:sz w:val="32"/>
          <w:szCs w:val="32"/>
          <w:highlight w:val="none"/>
          <w:u w:val="single"/>
        </w:rPr>
      </w:r>
      <w:r/>
    </w:p>
    <w:p>
      <w:pPr>
        <w:pStyle w:val="106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0"/>
        <w:ind w:firstLine="643"/>
        <w:jc w:val="left"/>
        <w:spacing w:before="0" w:line="360" w:lineRule="auto"/>
        <w:rPr>
          <w:rFonts w:ascii="仿宋" w:hAnsi="仿宋" w:eastAsia="仿宋"/>
          <w:color w:val="000000"/>
          <w:sz w:val="32"/>
          <w:szCs w:val="32"/>
          <w:highlight w:val="none"/>
        </w:rPr>
      </w:pPr>
      <w:r/>
      <w:bookmarkStart w:id="10" w:name="_Toc28359003"/>
      <w:r/>
      <w:bookmarkStart w:id="11" w:name="_Toc35393622"/>
      <w:r/>
      <w:bookmarkStart w:id="12" w:name="_Toc28359080"/>
      <w:r/>
      <w:bookmarkStart w:id="13" w:name="_Toc35393791"/>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68"/>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本项目专门面向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中小 □小微企业  采购。即：</w:t>
      </w:r>
      <w:r>
        <w:rPr>
          <w:rFonts w:ascii="仿宋" w:hAnsi="仿宋" w:eastAsia="仿宋"/>
          <w:b/>
          <w:color w:val="000000"/>
          <w:sz w:val="32"/>
          <w:szCs w:val="32"/>
          <w:highlight w:val="none"/>
        </w:rPr>
        <w:t xml:space="preserve">提供的服务全部由符合政策要求的中小/小微企业承接。</w:t>
      </w:r>
      <w:r>
        <w:rPr>
          <w:rFonts w:ascii="仿宋" w:hAnsi="仿宋" w:eastAsia="仿宋"/>
          <w:b/>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68"/>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68"/>
        <w:ind w:firstLine="640"/>
        <w:spacing w:line="360" w:lineRule="auto"/>
        <w:tabs>
          <w:tab w:val="left" w:pos="900" w:leader="none"/>
          <w:tab w:val="left" w:pos="1134" w:leader="none"/>
          <w:tab w:val="left" w:pos="1589" w:leader="none"/>
          <w:tab w:val="left" w:pos="5521" w:leader="none"/>
        </w:tabs>
        <w:rPr>
          <w:rFonts w:ascii="仿宋" w:hAnsi="仿宋" w:eastAsia="仿宋"/>
          <w:i/>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i/>
          <w:color w:val="000000"/>
          <w:sz w:val="32"/>
          <w:szCs w:val="32"/>
          <w:highlight w:val="none"/>
        </w:rPr>
      </w:r>
      <w:r/>
    </w:p>
    <w:p>
      <w:pPr>
        <w:pStyle w:val="106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68"/>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68"/>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6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u w:val="single"/>
        </w:rPr>
      </w:pPr>
      <w:r>
        <w:rPr>
          <w:rFonts w:ascii="仿宋" w:hAnsi="仿宋" w:eastAsia="仿宋"/>
          <w:color w:val="000000"/>
          <w:sz w:val="32"/>
          <w:szCs w:val="32"/>
          <w:highlight w:val="none"/>
        </w:rPr>
        <w:t xml:space="preserve">3.3其他特定资格要求：</w:t>
      </w:r>
      <w:r>
        <w:rPr>
          <w:rFonts w:ascii="仿宋" w:hAnsi="仿宋" w:eastAsia="仿宋"/>
          <w:color w:val="000000"/>
          <w:sz w:val="32"/>
          <w:szCs w:val="32"/>
          <w:highlight w:val="none"/>
          <w:u w:val="single"/>
        </w:rPr>
      </w:r>
      <w:r/>
    </w:p>
    <w:p>
      <w:pPr>
        <w:pStyle w:val="1068"/>
        <w:ind w:firstLine="643"/>
        <w:spacing w:line="360" w:lineRule="auto"/>
        <w:tabs>
          <w:tab w:val="left" w:pos="900" w:leader="none"/>
          <w:tab w:val="left" w:pos="1134" w:leader="none"/>
          <w:tab w:val="left" w:pos="1589" w:leader="none"/>
          <w:tab w:val="left" w:pos="5521" w:leader="none"/>
        </w:tabs>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 xml:space="preserve">3</w:t>
      </w:r>
      <w:r>
        <w:rPr>
          <w:rFonts w:ascii="仿宋" w:hAnsi="仿宋" w:eastAsia="仿宋"/>
          <w:b/>
          <w:color w:val="000000"/>
          <w:sz w:val="32"/>
          <w:szCs w:val="32"/>
          <w:highlight w:val="none"/>
        </w:rPr>
        <w:t xml:space="preserve">.3.1</w:t>
      </w:r>
      <w:r>
        <w:rPr>
          <w:rFonts w:hint="eastAsia" w:ascii="仿宋" w:hAnsi="仿宋" w:eastAsia="仿宋"/>
          <w:b/>
          <w:color w:val="000000"/>
          <w:sz w:val="32"/>
          <w:szCs w:val="32"/>
          <w:highlight w:val="none"/>
        </w:rPr>
        <w:t xml:space="preserve">投标人具有省级及以上技术监督部门颁发的CMA检验检测机构资质认定证书；</w:t>
      </w:r>
      <w:r>
        <w:rPr>
          <w:rFonts w:hint="eastAsia" w:ascii="仿宋" w:hAnsi="仿宋" w:eastAsia="仿宋"/>
          <w:b/>
          <w:color w:val="000000"/>
          <w:sz w:val="32"/>
          <w:szCs w:val="32"/>
          <w:highlight w:val="none"/>
        </w:rPr>
      </w:r>
      <w:r/>
    </w:p>
    <w:p>
      <w:pPr>
        <w:pStyle w:val="1068"/>
        <w:ind w:firstLine="643"/>
        <w:spacing w:line="360" w:lineRule="auto"/>
        <w:tabs>
          <w:tab w:val="left" w:pos="900" w:leader="none"/>
          <w:tab w:val="left" w:pos="1134" w:leader="none"/>
          <w:tab w:val="left" w:pos="1589" w:leader="none"/>
          <w:tab w:val="left" w:pos="5521" w:leader="none"/>
        </w:tabs>
        <w:rPr>
          <w:rFonts w:ascii="仿宋" w:hAnsi="仿宋" w:eastAsia="仿宋"/>
          <w:b/>
          <w:i/>
          <w:iCs/>
          <w:color w:val="000000"/>
          <w:sz w:val="32"/>
          <w:szCs w:val="32"/>
          <w:highlight w:val="none"/>
        </w:rPr>
      </w:pPr>
      <w:r>
        <w:rPr>
          <w:rFonts w:ascii="仿宋" w:hAnsi="仿宋" w:eastAsia="仿宋"/>
          <w:b/>
          <w:color w:val="000000"/>
          <w:sz w:val="32"/>
          <w:szCs w:val="32"/>
          <w:highlight w:val="none"/>
        </w:rPr>
        <w:t xml:space="preserve">3.3.</w:t>
      </w:r>
      <w:r>
        <w:rPr>
          <w:rFonts w:hint="eastAsia" w:ascii="仿宋" w:hAnsi="仿宋" w:eastAsia="仿宋"/>
          <w:b/>
          <w:color w:val="000000"/>
          <w:sz w:val="32"/>
          <w:szCs w:val="32"/>
          <w:highlight w:val="none"/>
        </w:rPr>
        <w:t xml:space="preserve">2拟投入项目负责人具备试验检测工程师上岗证书。</w:t>
      </w:r>
      <w:r>
        <w:rPr>
          <w:rFonts w:ascii="仿宋" w:hAnsi="仿宋" w:eastAsia="仿宋"/>
          <w:b/>
          <w:i/>
          <w:iCs/>
          <w:color w:val="000000"/>
          <w:sz w:val="32"/>
          <w:szCs w:val="32"/>
          <w:highlight w:val="none"/>
        </w:rPr>
      </w:r>
      <w:r/>
    </w:p>
    <w:p>
      <w:pPr>
        <w:pStyle w:val="1070"/>
        <w:ind w:firstLine="643"/>
        <w:jc w:val="left"/>
        <w:spacing w:before="0" w:line="360" w:lineRule="auto"/>
        <w:widowControl/>
        <w:rPr>
          <w:rFonts w:ascii="仿宋" w:hAnsi="仿宋" w:eastAsia="仿宋"/>
          <w:color w:val="000000"/>
          <w:sz w:val="32"/>
          <w:szCs w:val="32"/>
          <w:highlight w:val="none"/>
        </w:rPr>
      </w:pPr>
      <w:r/>
      <w:bookmarkEnd w:id="14"/>
      <w:r/>
      <w:bookmarkEnd w:id="15"/>
      <w:r/>
      <w:bookmarkStart w:id="16" w:name="_Toc35393792"/>
      <w:r/>
      <w:bookmarkStart w:id="17" w:name="_Toc35393623"/>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bidi="ar"/>
        </w:rPr>
        <w:t xml:space="preserve">2</w:t>
      </w:r>
      <w:r>
        <w:rPr>
          <w:rFonts w:ascii="仿宋" w:hAnsi="仿宋" w:eastAsia="仿宋"/>
          <w:color w:val="000000"/>
          <w:sz w:val="32"/>
          <w:szCs w:val="32"/>
          <w:highlight w:val="none"/>
          <w:lang w:bidi="ar"/>
        </w:rPr>
        <w:t xml:space="preserve">026</w:t>
      </w:r>
      <w:r>
        <w:rPr>
          <w:rFonts w:hint="eastAsia" w:ascii="仿宋" w:hAnsi="仿宋" w:eastAsia="仿宋" w:cs="宋体"/>
          <w:color w:val="000000"/>
          <w:sz w:val="32"/>
          <w:szCs w:val="32"/>
          <w:highlight w:val="none"/>
        </w:rPr>
        <w:t xml:space="preserve">年0</w:t>
      </w:r>
      <w:r>
        <w:rPr>
          <w:rFonts w:ascii="仿宋" w:hAnsi="仿宋" w:eastAsia="仿宋" w:cs="宋体"/>
          <w:color w:val="000000"/>
          <w:sz w:val="32"/>
          <w:szCs w:val="32"/>
          <w:highlight w:val="none"/>
        </w:rPr>
        <w:t xml:space="preserve">1</w:t>
      </w:r>
      <w:r>
        <w:rPr>
          <w:rFonts w:hint="eastAsia" w:ascii="仿宋" w:hAnsi="仿宋" w:eastAsia="仿宋" w:cs="宋体"/>
          <w:color w:val="000000"/>
          <w:sz w:val="32"/>
          <w:szCs w:val="32"/>
          <w:highlight w:val="none"/>
        </w:rPr>
        <w:t xml:space="preserve">月0</w:t>
      </w:r>
      <w:r>
        <w:rPr>
          <w:rFonts w:ascii="仿宋" w:hAnsi="仿宋" w:eastAsia="仿宋" w:cs="宋体"/>
          <w:color w:val="000000"/>
          <w:sz w:val="32"/>
          <w:szCs w:val="32"/>
          <w:highlight w:val="none"/>
        </w:rPr>
        <w:t xml:space="preserve">5</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至2</w:t>
      </w:r>
      <w:r>
        <w:rPr>
          <w:rFonts w:ascii="仿宋" w:hAnsi="仿宋" w:eastAsia="仿宋"/>
          <w:color w:val="000000"/>
          <w:sz w:val="32"/>
          <w:szCs w:val="32"/>
          <w:highlight w:val="none"/>
          <w:lang w:bidi="ar"/>
        </w:rPr>
        <w:t xml:space="preserve">026</w:t>
      </w:r>
      <w:r>
        <w:rPr>
          <w:rFonts w:hint="eastAsia" w:ascii="仿宋" w:hAnsi="仿宋" w:eastAsia="仿宋" w:cs="宋体"/>
          <w:color w:val="000000"/>
          <w:sz w:val="32"/>
          <w:szCs w:val="32"/>
          <w:highlight w:val="none"/>
        </w:rPr>
        <w:t xml:space="preserve">年0</w:t>
      </w:r>
      <w:r>
        <w:rPr>
          <w:rFonts w:ascii="仿宋" w:hAnsi="仿宋" w:eastAsia="仿宋" w:cs="宋体"/>
          <w:color w:val="000000"/>
          <w:sz w:val="32"/>
          <w:szCs w:val="32"/>
          <w:highlight w:val="none"/>
        </w:rPr>
        <w:t xml:space="preserve">1</w:t>
      </w:r>
      <w:r>
        <w:rPr>
          <w:rFonts w:hint="eastAsia" w:ascii="仿宋" w:hAnsi="仿宋" w:eastAsia="仿宋" w:cs="宋体"/>
          <w:color w:val="000000"/>
          <w:sz w:val="32"/>
          <w:szCs w:val="32"/>
          <w:highlight w:val="none"/>
        </w:rPr>
        <w:t xml:space="preserve">月0</w:t>
      </w:r>
      <w:r>
        <w:rPr>
          <w:rFonts w:ascii="仿宋" w:hAnsi="仿宋" w:eastAsia="仿宋" w:cs="宋体"/>
          <w:color w:val="000000"/>
          <w:sz w:val="32"/>
          <w:szCs w:val="32"/>
          <w:highlight w:val="none"/>
        </w:rPr>
        <w:t xml:space="preserve">9</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68"/>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68"/>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0"/>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68"/>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color w:val="000000"/>
          <w:sz w:val="32"/>
          <w:szCs w:val="32"/>
          <w:highlight w:val="none"/>
          <w:lang w:bidi="ar"/>
        </w:rPr>
        <w:t xml:space="preserve">2026年01月26日14点00分</w:t>
      </w:r>
      <w:r>
        <w:rPr>
          <w:rFonts w:ascii="仿宋" w:hAnsi="仿宋" w:eastAsia="仿宋"/>
          <w:bCs/>
          <w:color w:val="000000"/>
          <w:sz w:val="32"/>
          <w:szCs w:val="32"/>
          <w:highlight w:val="none"/>
          <w:lang w:bidi="ar"/>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68"/>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0"/>
        <w:ind w:firstLine="643"/>
        <w:jc w:val="left"/>
        <w:spacing w:before="0" w:line="360" w:lineRule="auto"/>
        <w:rPr>
          <w:rFonts w:ascii="仿宋" w:hAnsi="仿宋" w:eastAsia="仿宋"/>
          <w:color w:val="000000"/>
          <w:sz w:val="32"/>
          <w:szCs w:val="32"/>
          <w:highlight w:val="none"/>
        </w:rPr>
      </w:pPr>
      <w:r/>
      <w:bookmarkStart w:id="22" w:name="_Toc35393794"/>
      <w:r/>
      <w:bookmarkStart w:id="23" w:name="_Toc28359084"/>
      <w:r/>
      <w:bookmarkStart w:id="24" w:name="_Toc35393625"/>
      <w:r/>
      <w:bookmarkStart w:id="25" w:name="_Toc28359007"/>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0"/>
        <w:ind w:firstLine="643"/>
        <w:jc w:val="left"/>
        <w:spacing w:before="0" w:line="360" w:lineRule="auto"/>
        <w:rPr>
          <w:rFonts w:ascii="仿宋" w:hAnsi="仿宋" w:eastAsia="仿宋"/>
          <w:color w:val="000000"/>
          <w:sz w:val="32"/>
          <w:szCs w:val="32"/>
          <w:highlight w:val="none"/>
        </w:rPr>
      </w:pPr>
      <w:r/>
      <w:bookmarkStart w:id="26" w:name="_Toc35393795"/>
      <w:r/>
      <w:bookmarkStart w:id="27" w:name="_Toc35393626"/>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68"/>
        <w:ind w:firstLine="640"/>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68"/>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68"/>
        <w:ind w:firstLine="640"/>
        <w:spacing w:line="360" w:lineRule="auto"/>
        <w:rPr>
          <w:rFonts w:ascii="仿宋" w:hAnsi="仿宋" w:eastAsia="仿宋"/>
          <w:color w:val="000000"/>
          <w:sz w:val="32"/>
          <w:szCs w:val="32"/>
          <w:highlight w:val="none"/>
          <w:lang w:val="zh-TW" w:bidi="ar"/>
        </w:rPr>
      </w:pPr>
      <w:r>
        <w:rPr>
          <w:rFonts w:ascii="仿宋" w:hAnsi="仿宋" w:eastAsia="PMingLiU"/>
          <w:color w:val="000000"/>
          <w:sz w:val="32"/>
          <w:szCs w:val="32"/>
          <w:highlight w:val="none"/>
          <w:lang w:val="zh-TW" w:eastAsia="zh-TW"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68"/>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0"/>
        <w:ind w:firstLine="643"/>
        <w:jc w:val="left"/>
        <w:spacing w:before="0" w:line="360" w:lineRule="auto"/>
        <w:rPr>
          <w:rFonts w:ascii="仿宋" w:hAnsi="仿宋" w:eastAsia="仿宋"/>
          <w:color w:val="000000"/>
          <w:sz w:val="32"/>
          <w:szCs w:val="32"/>
          <w:highlight w:val="none"/>
        </w:rPr>
      </w:pPr>
      <w:r/>
      <w:bookmarkStart w:id="28" w:name="_Toc35393796"/>
      <w:r/>
      <w:bookmarkStart w:id="29" w:name="_Toc28359008"/>
      <w:r/>
      <w:bookmarkStart w:id="30" w:name="_Toc35393627"/>
      <w:r/>
      <w:bookmarkStart w:id="31" w:name="_Toc28359085"/>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68"/>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68"/>
        <w:ind w:firstLine="640"/>
        <w:jc w:val="left"/>
        <w:spacing w:line="360" w:lineRule="auto"/>
        <w:rPr>
          <w:rFonts w:hint="eastAsia" w:ascii="仿宋" w:hAnsi="仿宋" w:eastAsia="仿宋"/>
          <w:color w:val="000000"/>
          <w:sz w:val="32"/>
          <w:szCs w:val="32"/>
          <w:highlight w:val="none"/>
        </w:rPr>
      </w:pPr>
      <w:r/>
      <w:bookmarkStart w:id="32" w:name="_Toc28359009"/>
      <w:r/>
      <w:bookmarkStart w:id="33" w:name="_Toc28359086"/>
      <w:r>
        <w:rPr>
          <w:rFonts w:hint="eastAsia" w:ascii="仿宋" w:hAnsi="仿宋" w:eastAsia="仿宋"/>
          <w:color w:val="000000"/>
          <w:sz w:val="32"/>
          <w:szCs w:val="32"/>
          <w:highlight w:val="none"/>
        </w:rPr>
        <w:t xml:space="preserve">名    称：常州市武进区前黄镇人民政府</w:t>
      </w:r>
      <w:r>
        <w:rPr>
          <w:rFonts w:hint="eastAsia" w:ascii="仿宋" w:hAnsi="仿宋" w:eastAsia="仿宋"/>
          <w:color w:val="000000"/>
          <w:sz w:val="32"/>
          <w:szCs w:val="32"/>
          <w:highlight w:val="none"/>
        </w:rPr>
      </w:r>
      <w:r/>
    </w:p>
    <w:p>
      <w:pPr>
        <w:pStyle w:val="1068"/>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址：武进区前黄镇前灵路88号</w:t>
      </w:r>
      <w:r>
        <w:rPr>
          <w:rFonts w:hint="eastAsia" w:ascii="仿宋" w:hAnsi="仿宋" w:eastAsia="仿宋"/>
          <w:color w:val="000000"/>
          <w:sz w:val="32"/>
          <w:szCs w:val="32"/>
          <w:highlight w:val="none"/>
        </w:rPr>
      </w:r>
      <w:r/>
    </w:p>
    <w:p>
      <w:pPr>
        <w:pStyle w:val="1068"/>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联系方式：薛莲 </w:t>
      </w:r>
      <w:r>
        <w:rPr>
          <w:rFonts w:ascii="仿宋" w:hAnsi="仿宋" w:eastAsia="仿宋"/>
          <w:color w:val="000000"/>
          <w:sz w:val="32"/>
          <w:szCs w:val="32"/>
          <w:highlight w:val="none"/>
        </w:rPr>
        <w:t xml:space="preserve"> 0519-86513450</w:t>
      </w:r>
      <w:r>
        <w:rPr>
          <w:rFonts w:hint="eastAsia" w:ascii="仿宋" w:hAnsi="仿宋" w:eastAsia="仿宋"/>
          <w:color w:val="000000"/>
          <w:sz w:val="32"/>
          <w:szCs w:val="32"/>
          <w:highlight w:val="none"/>
        </w:rPr>
      </w:r>
      <w:r/>
    </w:p>
    <w:p>
      <w:pPr>
        <w:pStyle w:val="1068"/>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68"/>
        <w:ind w:firstLine="640"/>
        <w:spacing w:line="360" w:lineRule="auto"/>
        <w:rPr>
          <w:rFonts w:hint="eastAsia" w:ascii="仿宋" w:hAnsi="仿宋" w:eastAsia="仿宋"/>
          <w:color w:val="000000"/>
          <w:sz w:val="32"/>
          <w:szCs w:val="32"/>
          <w:highlight w:val="none"/>
        </w:rPr>
      </w:pPr>
      <w:r/>
      <w:bookmarkStart w:id="34" w:name="_Toc28359010"/>
      <w:r/>
      <w:bookmarkStart w:id="35"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68"/>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68"/>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68"/>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68"/>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项目联系人：王逸菲</w:t>
      </w:r>
      <w:r>
        <w:rPr>
          <w:rFonts w:hint="eastAsia" w:ascii="仿宋" w:hAnsi="仿宋" w:eastAsia="仿宋"/>
          <w:color w:val="000000"/>
          <w:sz w:val="32"/>
          <w:szCs w:val="32"/>
          <w:highlight w:val="none"/>
        </w:rPr>
      </w:r>
      <w:r/>
    </w:p>
    <w:p>
      <w:pPr>
        <w:pStyle w:val="1068"/>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81580192（转分机号6</w:t>
      </w:r>
      <w:r>
        <w:rPr>
          <w:rFonts w:ascii="仿宋" w:hAnsi="仿宋" w:eastAsia="仿宋"/>
          <w:color w:val="000000"/>
          <w:sz w:val="32"/>
          <w:szCs w:val="32"/>
          <w:highlight w:val="none"/>
        </w:rPr>
        <w:t xml:space="preserve">012</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68"/>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353873938"/>
      <w:r/>
      <w:bookmarkStart w:id="37" w:name="_Toc127161488"/>
      <w:r/>
      <w:bookmarkStart w:id="38" w:name="_Toc127151777"/>
      <w:r/>
      <w:bookmarkStart w:id="39" w:name="_Toc150774783"/>
      <w:r/>
      <w:bookmarkStart w:id="40" w:name="_Toc305158854"/>
      <w:r/>
      <w:bookmarkStart w:id="41" w:name="_Toc226965856"/>
      <w:r/>
      <w:bookmarkStart w:id="42" w:name="_Toc353825548"/>
      <w:r/>
      <w:bookmarkStart w:id="43" w:name="_Toc512937850"/>
      <w:r/>
      <w:bookmarkStart w:id="44" w:name="_Toc264969275"/>
      <w:r/>
      <w:bookmarkStart w:id="45" w:name="_Toc195842950"/>
      <w:r/>
      <w:bookmarkStart w:id="46" w:name="_Toc99301420"/>
      <w:r/>
      <w:bookmarkStart w:id="47" w:name="_Toc265228423"/>
      <w:r/>
      <w:bookmarkStart w:id="48" w:name="_Toc305158928"/>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0"/>
        <w:spacing w:before="0" w:line="360" w:lineRule="auto"/>
        <w:tabs>
          <w:tab w:val="center" w:pos="4592" w:leader="none"/>
          <w:tab w:val="left" w:pos="7860" w:leader="none"/>
        </w:tabs>
        <w:rPr>
          <w:rFonts w:ascii="宋体" w:hAnsi="宋体" w:eastAsia="宋体"/>
          <w:color w:val="000000"/>
          <w:sz w:val="28"/>
          <w:highlight w:val="none"/>
        </w:rPr>
      </w:pPr>
      <w:r/>
      <w:bookmarkStart w:id="49" w:name="_Toc127161433"/>
      <w:r/>
      <w:bookmarkStart w:id="50" w:name="_Toc151190146"/>
      <w:r/>
      <w:bookmarkStart w:id="51" w:name="_Toc164351613"/>
      <w:r/>
      <w:bookmarkStart w:id="52" w:name="_Toc164608633"/>
      <w:r/>
      <w:bookmarkStart w:id="53" w:name="_Toc195842884"/>
      <w:r/>
      <w:bookmarkStart w:id="54" w:name="_Toc226309763"/>
      <w:r/>
      <w:bookmarkStart w:id="55" w:name="_Toc150774619"/>
      <w:r/>
      <w:bookmarkStart w:id="56" w:name="_Toc226965792"/>
      <w:r/>
      <w:bookmarkStart w:id="57" w:name="_Toc149720812"/>
      <w:r/>
      <w:bookmarkStart w:id="58" w:name="_Toc164229214"/>
      <w:r/>
      <w:bookmarkStart w:id="59" w:name="_Toc150480757"/>
      <w:r/>
      <w:bookmarkStart w:id="60" w:name="_Toc520356144"/>
      <w:r/>
      <w:bookmarkStart w:id="61" w:name="_Toc151193761"/>
      <w:r/>
      <w:bookmarkStart w:id="62" w:name="_Toc127151720"/>
      <w:r/>
      <w:bookmarkStart w:id="63" w:name="_Toc226337215"/>
      <w:r/>
      <w:bookmarkStart w:id="64" w:name="_Toc127151519"/>
      <w:r/>
      <w:bookmarkStart w:id="65" w:name="_Toc151193907"/>
      <w:r/>
      <w:bookmarkStart w:id="66" w:name="_Toc226965709"/>
      <w:r/>
      <w:bookmarkStart w:id="67" w:name="_Toc164229360"/>
      <w:r/>
      <w:bookmarkStart w:id="68" w:name="_Toc164608788"/>
      <w:r/>
      <w:bookmarkStart w:id="69" w:name="_Toc151193617"/>
      <w:r/>
      <w:bookmarkStart w:id="70" w:name="_Toc151193689"/>
      <w:r/>
      <w:bookmarkStart w:id="71" w:name="_Toc150509270"/>
      <w:r/>
      <w:bookmarkStart w:id="72" w:name="_Toc142311021"/>
      <w:r/>
      <w:bookmarkStart w:id="73" w:name="_Toc150774724"/>
      <w:r/>
      <w:bookmarkStart w:id="74" w:name="_Toc151193833"/>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68"/>
        <w:jc w:val="center"/>
        <w:rPr>
          <w:rFonts w:ascii="宋体" w:hAnsi="宋体"/>
          <w:b/>
          <w:color w:val="000000"/>
          <w:sz w:val="28"/>
          <w:szCs w:val="28"/>
          <w:highlight w:val="none"/>
        </w:rPr>
      </w:pPr>
      <w:r>
        <w:rPr>
          <w:rFonts w:ascii="宋体" w:hAnsi="宋体"/>
          <w:b/>
          <w:color w:val="000000"/>
          <w:sz w:val="28"/>
          <w:szCs w:val="28"/>
          <w:highlight w:val="none"/>
        </w:rPr>
      </w:r>
      <w:r/>
    </w:p>
    <w:p>
      <w:pPr>
        <w:pStyle w:val="10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68"/>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68"/>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68"/>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07"/>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07"/>
              <w:rPr>
                <w:rFonts w:hAnsi="宋体" w:cs="宋体"/>
                <w:color w:val="000000"/>
                <w:sz w:val="24"/>
                <w:szCs w:val="24"/>
                <w:highlight w:val="none"/>
              </w:rPr>
            </w:pP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68"/>
              <w:jc w:val="left"/>
              <w:rPr>
                <w:rFonts w:hint="eastAsia" w:ascii="宋体" w:hAnsi="宋体" w:cs="宋体"/>
                <w:color w:val="000000"/>
                <w:sz w:val="24"/>
                <w:highlight w:val="none"/>
              </w:rPr>
            </w:pPr>
            <w:r>
              <w:rPr>
                <w:rFonts w:hAnsi="宋体" w:cs="宋体"/>
                <w:color w:val="000000"/>
                <w:sz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68"/>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07"/>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color w:val="000000"/>
                <w:sz w:val="24"/>
                <w:highlight w:val="none"/>
              </w:rPr>
              <w:t xml:space="preserve">其他未列明行业。</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color w:val="000000"/>
                <w:sz w:val="24"/>
                <w:highlight w:val="none"/>
              </w:rPr>
              <w:t xml:space="preserve">2</w:t>
            </w:r>
            <w:r>
              <w:rPr>
                <w:rFonts w:ascii="宋体" w:hAnsi="宋体" w:cs="宋体"/>
                <w:b/>
                <w:color w:val="000000"/>
                <w:sz w:val="24"/>
                <w:highlight w:val="none"/>
              </w:rPr>
              <w:t xml:space="preserve">026</w:t>
            </w:r>
            <w:r>
              <w:rPr>
                <w:rFonts w:hint="eastAsia" w:ascii="宋体" w:hAnsi="宋体" w:cs="宋体"/>
                <w:b/>
                <w:color w:val="000000"/>
                <w:sz w:val="24"/>
                <w:highlight w:val="none"/>
              </w:rPr>
              <w:t xml:space="preserve">年0</w:t>
            </w:r>
            <w:r>
              <w:rPr>
                <w:rFonts w:ascii="宋体" w:hAnsi="宋体" w:cs="宋体"/>
                <w:b/>
                <w:color w:val="000000"/>
                <w:sz w:val="24"/>
                <w:highlight w:val="none"/>
              </w:rPr>
              <w:t xml:space="preserve">1</w:t>
            </w:r>
            <w:r>
              <w:rPr>
                <w:rFonts w:hint="eastAsia" w:ascii="宋体" w:hAnsi="宋体" w:cs="宋体"/>
                <w:b/>
                <w:color w:val="000000"/>
                <w:sz w:val="24"/>
                <w:highlight w:val="none"/>
              </w:rPr>
              <w:t xml:space="preserve">月1</w:t>
            </w:r>
            <w:r>
              <w:rPr>
                <w:rFonts w:ascii="宋体" w:hAnsi="宋体" w:cs="宋体"/>
                <w:b/>
                <w:color w:val="000000"/>
                <w:sz w:val="24"/>
                <w:highlight w:val="none"/>
              </w:rPr>
              <w:t xml:space="preserve">2</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w:t>
            </w:r>
            <w:r>
              <w:rPr>
                <w:rFonts w:ascii="宋体" w:hAnsi="宋体" w:cs="宋体"/>
                <w:color w:val="000000"/>
                <w:sz w:val="24"/>
                <w:highlight w:val="none"/>
              </w:rPr>
              <w:t xml:space="preserve">012</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r>
            <w:r/>
          </w:p>
          <w:tbl>
            <w:tblPr>
              <w:tblW w:w="5430" w:type="dxa"/>
              <w:tblInd w:w="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68"/>
                    <w:ind w:firstLine="945"/>
                    <w:spacing w:line="440" w:lineRule="exact"/>
                    <w:rPr>
                      <w:rFonts w:hint="eastAsia" w:ascii="宋体" w:hAnsi="宋体" w:cs="宋体"/>
                      <w:bCs/>
                      <w:color w:val="000000"/>
                      <w:sz w:val="24"/>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4;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highlight w:val="none"/>
                    </w:rPr>
                    <w:t xml:space="preserve">服</w:t>
                  </w:r>
                  <w:r>
                    <w:rPr>
                      <w:rFonts w:hint="eastAsia" w:ascii="宋体" w:hAnsi="宋体" w:cs="宋体"/>
                      <w:bCs/>
                      <w:color w:val="000000"/>
                      <w:sz w:val="24"/>
                      <w:highlight w:val="none"/>
                    </w:rPr>
                  </w:r>
                  <w:r/>
                </w:p>
                <w:p>
                  <w:pPr>
                    <w:pStyle w:val="1068"/>
                    <w:ind w:firstLine="24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费　　　   务</w:t>
                  </w:r>
                  <w:r>
                    <w:rPr>
                      <w:rFonts w:hint="eastAsia" w:ascii="宋体" w:hAnsi="宋体" w:cs="宋体"/>
                      <w:bCs/>
                      <w:color w:val="000000"/>
                      <w:sz w:val="24"/>
                      <w:highlight w:val="none"/>
                    </w:rPr>
                  </w:r>
                  <w:r/>
                </w:p>
                <w:p>
                  <w:pPr>
                    <w:pStyle w:val="1068"/>
                    <w:ind w:firstLine="1260"/>
                    <w:spacing w:line="440" w:lineRule="exact"/>
                    <w:rPr>
                      <w:rFonts w:hint="eastAsia" w:ascii="宋体" w:hAnsi="宋体" w:cs="宋体"/>
                      <w:bCs/>
                      <w:color w:val="000000"/>
                      <w:sz w:val="24"/>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3;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 w:val="24"/>
                      <w:highlight w:val="none"/>
                    </w:rPr>
                    <w:t xml:space="preserve">　   类</w:t>
                  </w:r>
                  <w:r>
                    <w:rPr>
                      <w:rFonts w:hint="eastAsia" w:ascii="宋体" w:hAnsi="宋体" w:cs="宋体"/>
                      <w:bCs/>
                      <w:color w:val="000000"/>
                      <w:sz w:val="24"/>
                      <w:highlight w:val="none"/>
                    </w:rPr>
                  </w:r>
                  <w:r/>
                </w:p>
                <w:p>
                  <w:pPr>
                    <w:pStyle w:val="1068"/>
                    <w:ind w:firstLine="120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率　       型</w:t>
                  </w:r>
                  <w:r>
                    <w:rPr>
                      <w:rFonts w:hint="eastAsia" w:ascii="宋体" w:hAnsi="宋体" w:cs="宋体"/>
                      <w:bCs/>
                      <w:color w:val="000000"/>
                      <w:sz w:val="24"/>
                      <w:highlight w:val="none"/>
                    </w:rPr>
                  </w:r>
                  <w:r/>
                </w:p>
                <w:p>
                  <w:pPr>
                    <w:pStyle w:val="1068"/>
                    <w:ind w:firstLine="120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68"/>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成交金额（万元）</w:t>
                  </w:r>
                  <w:r>
                    <w:rPr>
                      <w:rFonts w:hint="eastAsia" w:ascii="宋体" w:hAnsi="宋体" w:cs="宋体"/>
                      <w:bCs/>
                      <w:color w:val="000000"/>
                      <w:sz w:val="24"/>
                      <w:highlight w:val="none"/>
                    </w:rPr>
                  </w:r>
                  <w:r/>
                </w:p>
              </w:tc>
              <w:tc>
                <w:tcPr>
                  <w:tcW w:w="2407" w:type="dxa"/>
                  <w:vAlign w:val="center"/>
                  <w:textDirection w:val="lrTb"/>
                  <w:noWrap w:val="false"/>
                </w:tcPr>
                <w:p>
                  <w:pPr>
                    <w:pStyle w:val="1068"/>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服务类</w:t>
                  </w:r>
                  <w:r>
                    <w:rPr>
                      <w:rFonts w:hint="eastAsia" w:ascii="宋体" w:hAnsi="宋体" w:cs="宋体"/>
                      <w:bCs/>
                      <w:color w:val="000000"/>
                      <w:sz w:val="24"/>
                      <w:highlight w:val="none"/>
                    </w:rPr>
                  </w:r>
                  <w:r/>
                </w:p>
              </w:tc>
            </w:tr>
            <w:tr>
              <w:trPr/>
              <w:tc>
                <w:tcPr>
                  <w:tcW w:w="3023" w:type="dxa"/>
                  <w:vAlign w:val="top"/>
                  <w:textDirection w:val="lrTb"/>
                  <w:noWrap w:val="false"/>
                </w:tcPr>
                <w:p>
                  <w:pPr>
                    <w:pStyle w:val="106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100（含，下同）以下</w:t>
                  </w:r>
                  <w:r>
                    <w:rPr>
                      <w:rFonts w:hint="eastAsia" w:ascii="宋体" w:hAnsi="宋体" w:cs="宋体"/>
                      <w:color w:val="000000"/>
                      <w:sz w:val="24"/>
                      <w:highlight w:val="none"/>
                    </w:rPr>
                  </w:r>
                  <w:r/>
                </w:p>
              </w:tc>
              <w:tc>
                <w:tcPr>
                  <w:tcW w:w="2407" w:type="dxa"/>
                  <w:vAlign w:val="top"/>
                  <w:textDirection w:val="lrTb"/>
                  <w:noWrap w:val="false"/>
                </w:tcPr>
                <w:p>
                  <w:pPr>
                    <w:pStyle w:val="106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r>
            <w:tr>
              <w:trPr/>
              <w:tc>
                <w:tcPr>
                  <w:tcW w:w="3023" w:type="dxa"/>
                  <w:vAlign w:val="top"/>
                  <w:textDirection w:val="lrTb"/>
                  <w:noWrap w:val="false"/>
                </w:tcPr>
                <w:p>
                  <w:pPr>
                    <w:pStyle w:val="106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100-500</w:t>
                  </w:r>
                  <w:r>
                    <w:rPr>
                      <w:rFonts w:hint="eastAsia" w:ascii="宋体" w:hAnsi="宋体" w:cs="宋体"/>
                      <w:color w:val="000000"/>
                      <w:sz w:val="24"/>
                      <w:highlight w:val="none"/>
                    </w:rPr>
                  </w:r>
                  <w:r/>
                </w:p>
              </w:tc>
              <w:tc>
                <w:tcPr>
                  <w:tcW w:w="2407" w:type="dxa"/>
                  <w:vAlign w:val="top"/>
                  <w:textDirection w:val="lrTb"/>
                  <w:noWrap w:val="false"/>
                </w:tcPr>
                <w:p>
                  <w:pPr>
                    <w:pStyle w:val="106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0.8%</w:t>
                  </w:r>
                  <w:r>
                    <w:rPr>
                      <w:rFonts w:hint="eastAsia" w:ascii="宋体" w:hAnsi="宋体" w:cs="宋体"/>
                      <w:color w:val="000000"/>
                      <w:sz w:val="24"/>
                      <w:highlight w:val="none"/>
                    </w:rPr>
                  </w:r>
                  <w:r/>
                </w:p>
              </w:tc>
            </w:tr>
            <w:tr>
              <w:trPr/>
              <w:tc>
                <w:tcPr>
                  <w:tcW w:w="3023" w:type="dxa"/>
                  <w:vAlign w:val="center"/>
                  <w:textDirection w:val="lrTb"/>
                  <w:noWrap w:val="false"/>
                </w:tcPr>
                <w:p>
                  <w:pPr>
                    <w:pStyle w:val="106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500—1000</w:t>
                  </w:r>
                  <w:r>
                    <w:rPr>
                      <w:rFonts w:hint="eastAsia" w:ascii="宋体" w:hAnsi="宋体" w:cs="宋体"/>
                      <w:color w:val="000000"/>
                      <w:sz w:val="24"/>
                      <w:highlight w:val="none"/>
                    </w:rPr>
                  </w:r>
                  <w:r/>
                </w:p>
              </w:tc>
              <w:tc>
                <w:tcPr>
                  <w:tcW w:w="2407" w:type="dxa"/>
                  <w:vAlign w:val="center"/>
                  <w:textDirection w:val="lrTb"/>
                  <w:noWrap w:val="false"/>
                </w:tcPr>
                <w:p>
                  <w:pPr>
                    <w:pStyle w:val="106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0.45%</w:t>
                  </w:r>
                  <w:r>
                    <w:rPr>
                      <w:rFonts w:hint="eastAsia" w:ascii="宋体" w:hAnsi="宋体" w:cs="宋体"/>
                      <w:color w:val="000000"/>
                      <w:sz w:val="24"/>
                      <w:highlight w:val="none"/>
                    </w:rPr>
                  </w:r>
                  <w:r/>
                </w:p>
              </w:tc>
            </w:tr>
            <w:tr>
              <w:trPr/>
              <w:tc>
                <w:tcPr>
                  <w:tcW w:w="3023" w:type="dxa"/>
                  <w:vAlign w:val="top"/>
                  <w:textDirection w:val="lrTb"/>
                  <w:noWrap w:val="false"/>
                </w:tcPr>
                <w:p>
                  <w:pPr>
                    <w:pStyle w:val="1068"/>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07" w:type="dxa"/>
                  <w:vAlign w:val="top"/>
                  <w:textDirection w:val="lrTb"/>
                  <w:noWrap w:val="false"/>
                </w:tcPr>
                <w:p>
                  <w:pPr>
                    <w:pStyle w:val="1068"/>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bl>
          <w:p>
            <w:pPr>
              <w:pStyle w:val="1068"/>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代理费按差额定率累进法计算。 </w:t>
            </w:r>
            <w:r>
              <w:rPr>
                <w:rFonts w:hint="eastAsia" w:ascii="宋体" w:hAnsi="宋体" w:cs="宋体"/>
                <w:color w:val="000000"/>
                <w:sz w:val="24"/>
                <w:highlight w:val="none"/>
              </w:rPr>
            </w:r>
            <w:r/>
          </w:p>
          <w:p>
            <w:pPr>
              <w:pStyle w:val="1068"/>
              <w:ind w:firstLine="480"/>
              <w:jc w:val="left"/>
              <w:rPr>
                <w:rFonts w:hint="eastAsia" w:ascii="宋体" w:hAnsi="宋体" w:cs="宋体"/>
                <w:b/>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b/>
                <w:color w:val="000000"/>
                <w:sz w:val="24"/>
                <w:highlight w:val="none"/>
              </w:rPr>
              <w:t xml:space="preserve">按照上述标准的70%收取。</w:t>
            </w:r>
            <w:r>
              <w:rPr>
                <w:rFonts w:hint="eastAsia" w:ascii="宋体" w:hAnsi="宋体" w:cs="宋体"/>
                <w:b/>
                <w:color w:val="000000"/>
                <w:sz w:val="24"/>
                <w:highlight w:val="none"/>
              </w:rPr>
            </w:r>
            <w:r/>
          </w:p>
          <w:p>
            <w:pPr>
              <w:pStyle w:val="1068"/>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代理费按上述计算方法不足人民币1500元的，按人民币1500元收取。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250609663;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b/>
                <w:color w:val="000000"/>
                <w:sz w:val="24"/>
                <w:highlight w:val="none"/>
              </w:rPr>
              <w:t xml:space="preserve">（3）缴纳时间：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68"/>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68"/>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68"/>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68"/>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68"/>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68"/>
        <w:jc w:val="center"/>
        <w:spacing w:before="240" w:after="240"/>
        <w:rPr>
          <w:rFonts w:hint="eastAsia" w:ascii="宋体" w:hAnsi="宋体" w:cs="宋体"/>
          <w:b/>
          <w:color w:val="000000"/>
          <w:sz w:val="28"/>
          <w:szCs w:val="28"/>
          <w:highlight w:val="none"/>
        </w:rPr>
      </w:pPr>
      <w:r/>
      <w:bookmarkStart w:id="75" w:name="_Toc305158785"/>
      <w:r/>
      <w:bookmarkStart w:id="76" w:name="_Toc353873932"/>
      <w:r/>
      <w:bookmarkStart w:id="77" w:name="_Toc353873662"/>
      <w:r/>
      <w:bookmarkStart w:id="78" w:name="_Toc264969207"/>
      <w:r/>
      <w:bookmarkStart w:id="79" w:name="_Toc195842882"/>
      <w:r/>
      <w:bookmarkStart w:id="80" w:name="_Toc226337213"/>
      <w:r/>
      <w:bookmarkStart w:id="81" w:name="_Toc226965790"/>
      <w:r/>
      <w:bookmarkStart w:id="82" w:name="_Toc127151517"/>
      <w:r/>
      <w:bookmarkStart w:id="83" w:name="_Toc142311019"/>
      <w:r/>
      <w:bookmarkStart w:id="84" w:name="_Toc150774722"/>
      <w:r/>
      <w:bookmarkStart w:id="85" w:name="_Toc353825542"/>
      <w:r/>
      <w:bookmarkStart w:id="86" w:name="_Toc150480755"/>
      <w:r/>
      <w:bookmarkStart w:id="87" w:name="_Toc305158859"/>
      <w:r/>
      <w:bookmarkStart w:id="88" w:name="_Toc265228355"/>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0"/>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150774723"/>
      <w:r/>
      <w:bookmarkStart w:id="92" w:name="_Toc151193616"/>
      <w:r/>
      <w:bookmarkStart w:id="93" w:name="_Toc151193688"/>
      <w:r/>
      <w:bookmarkStart w:id="94" w:name="_Toc305158860"/>
      <w:r/>
      <w:bookmarkStart w:id="95" w:name="_Toc226337214"/>
      <w:r/>
      <w:bookmarkStart w:id="96" w:name="_Toc305158786"/>
      <w:r/>
      <w:bookmarkStart w:id="97" w:name="_Toc150509269"/>
      <w:r/>
      <w:bookmarkStart w:id="98" w:name="_Toc151190145"/>
      <w:r/>
      <w:bookmarkStart w:id="99" w:name="_Toc226965708"/>
      <w:r/>
      <w:bookmarkStart w:id="100" w:name="_Toc151193906"/>
      <w:r/>
      <w:bookmarkStart w:id="101" w:name="_Toc226965791"/>
      <w:r/>
      <w:bookmarkStart w:id="102" w:name="_Toc150480756"/>
      <w:r/>
      <w:bookmarkStart w:id="103" w:name="_Toc264969208"/>
      <w:r/>
      <w:bookmarkStart w:id="104" w:name="_Toc151193832"/>
      <w:r/>
      <w:bookmarkStart w:id="105" w:name="_Toc265228356"/>
      <w:r/>
      <w:bookmarkStart w:id="106" w:name="_Toc195842883"/>
      <w:r/>
      <w:bookmarkStart w:id="107" w:name="_Toc142311020"/>
      <w:r/>
      <w:bookmarkStart w:id="108" w:name="_Toc226309762"/>
      <w:r/>
      <w:bookmarkStart w:id="109" w:name="_Toc151193760"/>
      <w:r/>
      <w:bookmarkStart w:id="110" w:name="_Toc150774618"/>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68"/>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264969209"/>
      <w:r/>
      <w:bookmarkStart w:id="112" w:name="_Toc305158861"/>
      <w:r/>
      <w:bookmarkStart w:id="113" w:name="_Toc265228357"/>
      <w:r/>
      <w:bookmarkStart w:id="114" w:name="_Toc305158787"/>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49720813"/>
      <w:r/>
      <w:bookmarkStart w:id="116" w:name="_Toc151193908"/>
      <w:r/>
      <w:bookmarkStart w:id="117" w:name="_Toc164229361"/>
      <w:r/>
      <w:bookmarkStart w:id="118" w:name="_Toc150774725"/>
      <w:r/>
      <w:bookmarkStart w:id="119" w:name="_Toc265228358"/>
      <w:r/>
      <w:bookmarkStart w:id="120" w:name="_Toc151190147"/>
      <w:r/>
      <w:bookmarkStart w:id="121" w:name="_Toc305158862"/>
      <w:r/>
      <w:bookmarkStart w:id="122" w:name="_Toc151193834"/>
      <w:r/>
      <w:bookmarkStart w:id="123" w:name="_Toc151193690"/>
      <w:r/>
      <w:bookmarkStart w:id="124" w:name="_Toc226965710"/>
      <w:r/>
      <w:bookmarkStart w:id="125" w:name="_Toc305158788"/>
      <w:r/>
      <w:bookmarkStart w:id="126" w:name="_Toc150509271"/>
      <w:r/>
      <w:bookmarkStart w:id="127" w:name="_Toc151193762"/>
      <w:r/>
      <w:bookmarkStart w:id="128" w:name="_Toc164608634"/>
      <w:r/>
      <w:bookmarkStart w:id="129" w:name="_Toc226965793"/>
      <w:r/>
      <w:bookmarkStart w:id="130" w:name="_Toc127151721"/>
      <w:r/>
      <w:bookmarkStart w:id="131" w:name="_Toc226309764"/>
      <w:r/>
      <w:bookmarkStart w:id="132" w:name="_Toc264969210"/>
      <w:r/>
      <w:bookmarkStart w:id="133" w:name="_Toc195842885"/>
      <w:r/>
      <w:bookmarkStart w:id="134" w:name="_Toc142311022"/>
      <w:r/>
      <w:bookmarkStart w:id="135" w:name="_Toc164351614"/>
      <w:r/>
      <w:bookmarkStart w:id="136" w:name="_Toc150774620"/>
      <w:r/>
      <w:bookmarkStart w:id="137" w:name="_Toc226337216"/>
      <w:r/>
      <w:bookmarkStart w:id="138" w:name="_Toc127151520"/>
      <w:r/>
      <w:bookmarkStart w:id="139" w:name="_Toc127161434"/>
      <w:r/>
      <w:bookmarkStart w:id="140" w:name="_Toc151193618"/>
      <w:r/>
      <w:bookmarkStart w:id="141" w:name="_Toc150480758"/>
      <w:r/>
      <w:bookmarkStart w:id="142" w:name="_Toc164229215"/>
      <w:r/>
      <w:bookmarkStart w:id="143" w:name="_Toc164608789"/>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151193764"/>
      <w:r/>
      <w:bookmarkStart w:id="145" w:name="_Toc151193910"/>
      <w:r/>
      <w:bookmarkStart w:id="146" w:name="_Toc151190149"/>
      <w:r/>
      <w:bookmarkStart w:id="147" w:name="_Toc150774622"/>
      <w:r/>
      <w:bookmarkStart w:id="148" w:name="_Toc127151522"/>
      <w:r/>
      <w:bookmarkStart w:id="149" w:name="_Toc142311024"/>
      <w:r/>
      <w:bookmarkStart w:id="150" w:name="_Toc195842887"/>
      <w:r/>
      <w:bookmarkStart w:id="151" w:name="_Toc226309766"/>
      <w:r/>
      <w:bookmarkStart w:id="152" w:name="_Toc226965712"/>
      <w:r/>
      <w:bookmarkStart w:id="153" w:name="_Toc150509273"/>
      <w:r/>
      <w:bookmarkStart w:id="154" w:name="_Toc226337218"/>
      <w:r/>
      <w:bookmarkStart w:id="155" w:name="_Toc264969212"/>
      <w:r/>
      <w:bookmarkStart w:id="156" w:name="_Toc151193620"/>
      <w:r/>
      <w:bookmarkStart w:id="157" w:name="_Toc151193836"/>
      <w:r/>
      <w:bookmarkStart w:id="158" w:name="_Toc520356146"/>
      <w:r/>
      <w:bookmarkStart w:id="159" w:name="_Toc150774727"/>
      <w:r/>
      <w:bookmarkStart w:id="160" w:name="_Toc151193692"/>
      <w:r/>
      <w:bookmarkStart w:id="161" w:name="_Toc305158864"/>
      <w:r/>
      <w:bookmarkStart w:id="162" w:name="_Toc305158790"/>
      <w:r/>
      <w:bookmarkStart w:id="163" w:name="_Toc150480760"/>
      <w:r/>
      <w:bookmarkStart w:id="164" w:name="_Toc226965795"/>
      <w:r/>
      <w:bookmarkStart w:id="165" w:name="_Toc265228360"/>
      <w:r>
        <w:rPr>
          <w:rFonts w:hint="eastAsia" w:ascii="宋体" w:hAnsi="宋体" w:cs="宋体"/>
          <w:color w:val="000000"/>
          <w:sz w:val="28"/>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68"/>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2"/>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2"/>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2"/>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68"/>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68"/>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68"/>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68"/>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68"/>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6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6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2"/>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2"/>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6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6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6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6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6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6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68"/>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68"/>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6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6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68"/>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rPr>
        <w:suppressLineNumbers w:val="0"/>
      </w:pPr>
      <w:r>
        <w:rPr>
          <w:rFonts w:hint="eastAsia" w:ascii="宋体" w:hAnsi="宋体" w:eastAsia="宋体" w:cs="宋体"/>
          <w:b/>
          <w:bCs/>
          <w:color w:val="000000"/>
          <w:sz w:val="24"/>
          <w:szCs w:val="24"/>
          <w:highlight w:val="none"/>
          <w:lang w:val="en-US" w:eastAsia="zh-CN" w:bidi="ar"/>
        </w:rPr>
        <w:t xml:space="preserve">5.9采购本国产品的支持政策</w:t>
      </w:r>
      <w:r>
        <w:rPr>
          <w:rFonts w:hint="eastAsia" w:ascii="宋体" w:hAnsi="宋体" w:eastAsia="宋体" w:cs="宋体"/>
          <w:b/>
          <w:bCs/>
          <w:color w:val="000000"/>
          <w:sz w:val="24"/>
          <w:szCs w:val="24"/>
          <w:highlight w:val="none"/>
          <w:lang w:val="en-US"/>
        </w:rPr>
      </w:r>
      <w:r/>
    </w:p>
    <w:p>
      <w:pPr>
        <w:pStyle w:val="1068"/>
        <w:ind w:left="0" w:right="0" w:firstLine="480"/>
        <w:jc w:val="both"/>
        <w:keepLines w:val="0"/>
        <w:keepNext w:val="0"/>
        <w:spacing w:before="0" w:beforeAutospacing="0" w:after="0" w:afterAutospacing="0" w:line="360" w:lineRule="auto"/>
        <w:widowControl w:val="off"/>
        <w:rPr>
          <w:rFonts w:hint="eastAsia" w:ascii="宋体" w:hAnsi="宋体"/>
          <w:color w:val="000000"/>
          <w:sz w:val="24"/>
          <w:highlight w:val="none"/>
        </w:rPr>
        <w:suppressLineNumbers w:val="0"/>
      </w:pPr>
      <w:r>
        <w:rPr>
          <w:rFonts w:hint="eastAsia" w:ascii="宋体" w:hAnsi="宋体" w:eastAsia="宋体" w:cs="宋体"/>
          <w:color w:val="000000"/>
          <w:sz w:val="24"/>
          <w:szCs w:val="24"/>
          <w:highlight w:val="none"/>
          <w:lang w:val="en-US" w:eastAsia="zh-CN" w:bidi="ar"/>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68"/>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0"/>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226965796"/>
      <w:r/>
      <w:bookmarkStart w:id="168" w:name="_Toc150774728"/>
      <w:r/>
      <w:bookmarkStart w:id="169" w:name="_Toc520356147"/>
      <w:r/>
      <w:bookmarkStart w:id="170" w:name="_Toc305158865"/>
      <w:r/>
      <w:bookmarkStart w:id="171" w:name="_Toc151193621"/>
      <w:r/>
      <w:bookmarkStart w:id="172" w:name="_Toc226337219"/>
      <w:r/>
      <w:bookmarkStart w:id="173" w:name="_Toc264969213"/>
      <w:r/>
      <w:bookmarkStart w:id="174" w:name="_Toc127161437"/>
      <w:r/>
      <w:bookmarkStart w:id="175" w:name="_Toc226309767"/>
      <w:r/>
      <w:bookmarkStart w:id="176" w:name="_Toc142311025"/>
      <w:r/>
      <w:bookmarkStart w:id="177" w:name="_Toc164608792"/>
      <w:r/>
      <w:bookmarkStart w:id="178" w:name="_Toc150480761"/>
      <w:r/>
      <w:bookmarkStart w:id="179" w:name="_Toc164229218"/>
      <w:r/>
      <w:bookmarkStart w:id="180" w:name="_Toc151193911"/>
      <w:r/>
      <w:bookmarkStart w:id="181" w:name="_Toc151193693"/>
      <w:r/>
      <w:bookmarkStart w:id="182" w:name="_Toc150774623"/>
      <w:r/>
      <w:bookmarkStart w:id="183" w:name="_Toc151193837"/>
      <w:r/>
      <w:bookmarkStart w:id="184" w:name="_Toc150509274"/>
      <w:r/>
      <w:bookmarkStart w:id="185" w:name="_Toc164608637"/>
      <w:r/>
      <w:bookmarkStart w:id="186" w:name="_Toc164351617"/>
      <w:r/>
      <w:bookmarkStart w:id="187" w:name="_Toc151190150"/>
      <w:r/>
      <w:bookmarkStart w:id="188" w:name="_Toc149720816"/>
      <w:r/>
      <w:bookmarkStart w:id="189" w:name="_Toc127151724"/>
      <w:r/>
      <w:bookmarkStart w:id="190" w:name="_Toc164229364"/>
      <w:r/>
      <w:bookmarkStart w:id="191" w:name="_Toc265228361"/>
      <w:r/>
      <w:bookmarkStart w:id="192" w:name="_Toc127151523"/>
      <w:r/>
      <w:bookmarkStart w:id="193" w:name="_Toc226965713"/>
      <w:r/>
      <w:bookmarkStart w:id="194" w:name="_Toc151193765"/>
      <w:r/>
      <w:bookmarkStart w:id="195" w:name="_Toc305158791"/>
      <w:r/>
      <w:bookmarkStart w:id="196" w:name="_Toc195842888"/>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0"/>
        <w:ind w:firstLine="562"/>
        <w:spacing w:before="0" w:line="360" w:lineRule="auto"/>
        <w:rPr>
          <w:rFonts w:hint="eastAsia" w:ascii="宋体" w:hAnsi="宋体" w:eastAsia="宋体" w:cs="宋体"/>
          <w:color w:val="000000"/>
          <w:sz w:val="28"/>
          <w:highlight w:val="none"/>
        </w:rPr>
      </w:pPr>
      <w:r/>
      <w:bookmarkStart w:id="197" w:name="_Toc151193696"/>
      <w:r/>
      <w:bookmarkStart w:id="198" w:name="_Toc151193624"/>
      <w:r/>
      <w:bookmarkStart w:id="199" w:name="_Toc265228364"/>
      <w:r/>
      <w:bookmarkStart w:id="200" w:name="_Toc226337222"/>
      <w:r/>
      <w:bookmarkStart w:id="201" w:name="_Toc150774626"/>
      <w:r/>
      <w:bookmarkStart w:id="202" w:name="_Toc305158868"/>
      <w:r/>
      <w:bookmarkStart w:id="203" w:name="_Toc226309770"/>
      <w:r/>
      <w:bookmarkStart w:id="204" w:name="_Toc150774731"/>
      <w:r/>
      <w:bookmarkStart w:id="205" w:name="_Toc305158794"/>
      <w:r/>
      <w:bookmarkStart w:id="206" w:name="_Toc151190153"/>
      <w:r/>
      <w:bookmarkStart w:id="207" w:name="_Toc150509277"/>
      <w:r/>
      <w:bookmarkStart w:id="208" w:name="_Toc520356150"/>
      <w:r/>
      <w:bookmarkStart w:id="209" w:name="_Toc151193914"/>
      <w:r/>
      <w:bookmarkStart w:id="210" w:name="_Toc516367020"/>
      <w:r/>
      <w:bookmarkStart w:id="211" w:name="_Toc150480764"/>
      <w:r/>
      <w:bookmarkStart w:id="212" w:name="_Toc226965716"/>
      <w:r/>
      <w:bookmarkStart w:id="213" w:name="_Toc226965799"/>
      <w:r/>
      <w:bookmarkStart w:id="214" w:name="_Toc151193768"/>
      <w:r/>
      <w:bookmarkStart w:id="215" w:name="_Toc195842891"/>
      <w:r/>
      <w:bookmarkStart w:id="216" w:name="_Toc264969216"/>
      <w:r/>
      <w:bookmarkStart w:id="217" w:name="_Toc142311028"/>
      <w:r/>
      <w:bookmarkStart w:id="218" w:name="_Toc151193840"/>
      <w:r/>
      <w:bookmarkStart w:id="219" w:name="_Toc127151526"/>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64351621"/>
      <w:r/>
      <w:bookmarkStart w:id="221" w:name="_Toc226965717"/>
      <w:r/>
      <w:bookmarkStart w:id="222" w:name="_Toc226309771"/>
      <w:r/>
      <w:bookmarkStart w:id="223" w:name="_Toc151193625"/>
      <w:r/>
      <w:bookmarkStart w:id="224" w:name="_Toc305158795"/>
      <w:r/>
      <w:bookmarkStart w:id="225" w:name="_Toc520356151"/>
      <w:r/>
      <w:bookmarkStart w:id="226" w:name="_Toc150509278"/>
      <w:r/>
      <w:bookmarkStart w:id="227" w:name="_Toc164608796"/>
      <w:r/>
      <w:bookmarkStart w:id="228" w:name="_Toc226337223"/>
      <w:r/>
      <w:bookmarkStart w:id="229" w:name="_Toc164229368"/>
      <w:r/>
      <w:bookmarkStart w:id="230" w:name="_Toc150480765"/>
      <w:r/>
      <w:bookmarkStart w:id="231" w:name="_Toc127151527"/>
      <w:r/>
      <w:bookmarkStart w:id="232" w:name="_Toc226965800"/>
      <w:r/>
      <w:bookmarkStart w:id="233" w:name="_Toc151190154"/>
      <w:r/>
      <w:bookmarkStart w:id="234" w:name="_Toc142311029"/>
      <w:r/>
      <w:bookmarkStart w:id="235" w:name="_Toc151193841"/>
      <w:r/>
      <w:bookmarkStart w:id="236" w:name="_Toc127161441"/>
      <w:r/>
      <w:bookmarkStart w:id="237" w:name="_Toc151193697"/>
      <w:r/>
      <w:bookmarkStart w:id="238" w:name="_Toc150774732"/>
      <w:r/>
      <w:bookmarkStart w:id="239" w:name="_Toc164608641"/>
      <w:r/>
      <w:bookmarkStart w:id="240" w:name="_Toc264969217"/>
      <w:r/>
      <w:bookmarkStart w:id="241" w:name="_Toc164229222"/>
      <w:r/>
      <w:bookmarkStart w:id="242" w:name="_Toc151193915"/>
      <w:r/>
      <w:bookmarkStart w:id="243" w:name="_Toc149720820"/>
      <w:r/>
      <w:bookmarkStart w:id="244" w:name="_Toc127151728"/>
      <w:r/>
      <w:bookmarkStart w:id="245" w:name="_Toc150774627"/>
      <w:r/>
      <w:bookmarkStart w:id="246" w:name="_Toc516367021"/>
      <w:r/>
      <w:bookmarkStart w:id="247" w:name="_Toc151193769"/>
      <w:r/>
      <w:bookmarkStart w:id="248" w:name="_Toc195842892"/>
      <w:r/>
      <w:bookmarkStart w:id="249" w:name="_Toc305158869"/>
      <w:r/>
      <w:bookmarkStart w:id="250" w:name="_Toc265228365"/>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51193626"/>
      <w:r/>
      <w:bookmarkStart w:id="252" w:name="_Toc150774628"/>
      <w:r/>
      <w:bookmarkStart w:id="253" w:name="_Toc520356152"/>
      <w:r/>
      <w:bookmarkStart w:id="254" w:name="_Toc164229369"/>
      <w:r/>
      <w:bookmarkStart w:id="255" w:name="_Toc226965718"/>
      <w:r/>
      <w:bookmarkStart w:id="256" w:name="_Toc305158796"/>
      <w:r/>
      <w:bookmarkStart w:id="257" w:name="_Toc226337224"/>
      <w:r/>
      <w:bookmarkStart w:id="258" w:name="_Ref467306195"/>
      <w:r/>
      <w:bookmarkStart w:id="259" w:name="_Ref467306676"/>
      <w:r/>
      <w:bookmarkStart w:id="260" w:name="_Toc516367022"/>
      <w:r/>
      <w:bookmarkStart w:id="261" w:name="_Toc151193698"/>
      <w:r/>
      <w:bookmarkStart w:id="262" w:name="_Toc265228366"/>
      <w:r/>
      <w:bookmarkStart w:id="263" w:name="_Toc149720821"/>
      <w:r/>
      <w:bookmarkStart w:id="264" w:name="_Toc151193842"/>
      <w:r/>
      <w:bookmarkStart w:id="265" w:name="_Toc226309772"/>
      <w:r/>
      <w:bookmarkStart w:id="266" w:name="_Toc127161442"/>
      <w:r/>
      <w:bookmarkStart w:id="267" w:name="_Toc226965801"/>
      <w:r/>
      <w:bookmarkStart w:id="268" w:name="_Toc164608642"/>
      <w:r/>
      <w:bookmarkStart w:id="269" w:name="_Toc150509279"/>
      <w:r/>
      <w:bookmarkStart w:id="270" w:name="_Toc164229223"/>
      <w:r/>
      <w:bookmarkStart w:id="271" w:name="_Toc264969218"/>
      <w:r/>
      <w:bookmarkStart w:id="272" w:name="_Toc151193770"/>
      <w:r/>
      <w:bookmarkStart w:id="273" w:name="_Toc127151528"/>
      <w:r/>
      <w:bookmarkStart w:id="274" w:name="_Toc305158870"/>
      <w:r/>
      <w:bookmarkStart w:id="275" w:name="_Toc164351622"/>
      <w:r/>
      <w:bookmarkStart w:id="276" w:name="_Toc150774733"/>
      <w:r/>
      <w:bookmarkStart w:id="277" w:name="_Toc151193916"/>
      <w:r/>
      <w:bookmarkStart w:id="278" w:name="_Toc150480766"/>
      <w:r/>
      <w:bookmarkStart w:id="279" w:name="_Toc127151729"/>
      <w:r/>
      <w:bookmarkStart w:id="280" w:name="_Toc164608797"/>
      <w:r/>
      <w:bookmarkStart w:id="281" w:name="_Toc142311030"/>
      <w:r/>
      <w:bookmarkStart w:id="282" w:name="_Toc151190155"/>
      <w:r/>
      <w:bookmarkStart w:id="283" w:name="_Toc195842893"/>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51190157"/>
      <w:r/>
      <w:bookmarkStart w:id="286" w:name="_Toc150509281"/>
      <w:r/>
      <w:bookmarkStart w:id="287" w:name="_Toc151193844"/>
      <w:r/>
      <w:bookmarkStart w:id="288" w:name="_Toc151193772"/>
      <w:r/>
      <w:bookmarkStart w:id="289" w:name="_Toc127151530"/>
      <w:r/>
      <w:bookmarkStart w:id="290" w:name="_Toc151193918"/>
      <w:r/>
      <w:bookmarkStart w:id="291" w:name="_Toc151193700"/>
      <w:r/>
      <w:bookmarkStart w:id="292" w:name="_Toc142311032"/>
      <w:r/>
      <w:bookmarkStart w:id="293" w:name="_Toc150774630"/>
      <w:r/>
      <w:bookmarkStart w:id="294" w:name="_Toc164229225"/>
      <w:r/>
      <w:bookmarkStart w:id="295" w:name="_Toc127161444"/>
      <w:r/>
      <w:bookmarkStart w:id="296" w:name="_Toc149720823"/>
      <w:r/>
      <w:bookmarkStart w:id="297" w:name="_Toc164229371"/>
      <w:r/>
      <w:bookmarkStart w:id="298" w:name="_Toc164351624"/>
      <w:r/>
      <w:bookmarkStart w:id="299" w:name="_Toc150774735"/>
      <w:r/>
      <w:bookmarkStart w:id="300" w:name="_Toc520356155"/>
      <w:r/>
      <w:bookmarkStart w:id="301" w:name="_Toc195842895"/>
      <w:r/>
      <w:bookmarkStart w:id="302" w:name="_Toc164608799"/>
      <w:r/>
      <w:bookmarkStart w:id="303" w:name="_Toc164608644"/>
      <w:r/>
      <w:bookmarkStart w:id="304" w:name="_Toc150480768"/>
      <w:r/>
      <w:bookmarkStart w:id="305" w:name="_Toc127151731"/>
      <w:r/>
      <w:bookmarkStart w:id="306" w:name="_Toc151193628"/>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305158799"/>
      <w:r/>
      <w:bookmarkStart w:id="308" w:name="_Toc150480769"/>
      <w:r/>
      <w:bookmarkStart w:id="309" w:name="_Toc195842896"/>
      <w:r/>
      <w:bookmarkStart w:id="310" w:name="_Toc151193773"/>
      <w:r/>
      <w:bookmarkStart w:id="311" w:name="_Toc305158873"/>
      <w:r/>
      <w:bookmarkStart w:id="312" w:name="_Toc164229226"/>
      <w:r/>
      <w:bookmarkStart w:id="313" w:name="_Toc164351625"/>
      <w:r/>
      <w:bookmarkStart w:id="314" w:name="_Toc265228369"/>
      <w:r/>
      <w:bookmarkStart w:id="315" w:name="_Toc520356156"/>
      <w:r/>
      <w:bookmarkStart w:id="316" w:name="_Toc151190158"/>
      <w:r/>
      <w:bookmarkStart w:id="317" w:name="_Toc151193701"/>
      <w:r/>
      <w:bookmarkStart w:id="318" w:name="_Toc151193845"/>
      <w:r/>
      <w:bookmarkStart w:id="319" w:name="_Toc150774631"/>
      <w:r/>
      <w:bookmarkStart w:id="320" w:name="_Ref467306513"/>
      <w:r/>
      <w:bookmarkStart w:id="321" w:name="_Toc142311033"/>
      <w:r/>
      <w:bookmarkStart w:id="322" w:name="_Toc226309775"/>
      <w:r/>
      <w:bookmarkStart w:id="323" w:name="_Toc149720824"/>
      <w:r/>
      <w:bookmarkStart w:id="324" w:name="_Toc226965721"/>
      <w:r/>
      <w:bookmarkStart w:id="325" w:name="_Toc226965804"/>
      <w:r/>
      <w:bookmarkStart w:id="326" w:name="_Toc264969221"/>
      <w:r/>
      <w:bookmarkStart w:id="327" w:name="_Toc127151732"/>
      <w:r/>
      <w:bookmarkStart w:id="328" w:name="_Toc164229372"/>
      <w:r/>
      <w:bookmarkStart w:id="329" w:name="_Toc151193919"/>
      <w:r/>
      <w:bookmarkStart w:id="330" w:name="_Toc164608645"/>
      <w:r/>
      <w:bookmarkStart w:id="331" w:name="_Toc127161445"/>
      <w:r/>
      <w:bookmarkStart w:id="332" w:name="_Toc164608800"/>
      <w:r/>
      <w:bookmarkStart w:id="333" w:name="_Toc151193629"/>
      <w:r/>
      <w:bookmarkStart w:id="334" w:name="_Toc127151531"/>
      <w:r/>
      <w:bookmarkStart w:id="335" w:name="_Toc150509282"/>
      <w:r/>
      <w:bookmarkStart w:id="336" w:name="_Toc150774736"/>
      <w:r/>
      <w:bookmarkStart w:id="337" w:name="_Toc226337227"/>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68"/>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226965722"/>
      <w:r/>
      <w:bookmarkStart w:id="339" w:name="_Toc195842897"/>
      <w:r/>
      <w:bookmarkStart w:id="340" w:name="_Toc150509283"/>
      <w:r/>
      <w:bookmarkStart w:id="341" w:name="_Toc150480770"/>
      <w:r/>
      <w:bookmarkStart w:id="342" w:name="_Toc226309776"/>
      <w:r/>
      <w:bookmarkStart w:id="343" w:name="_Toc226337228"/>
      <w:r/>
      <w:bookmarkStart w:id="344" w:name="_Toc150774737"/>
      <w:r/>
      <w:bookmarkStart w:id="345" w:name="_Toc265228370"/>
      <w:r/>
      <w:bookmarkStart w:id="346" w:name="_Toc305158874"/>
      <w:r/>
      <w:bookmarkStart w:id="347" w:name="_Toc127161446"/>
      <w:r/>
      <w:bookmarkStart w:id="348" w:name="_Toc142311034"/>
      <w:r/>
      <w:bookmarkStart w:id="349" w:name="_Toc151193630"/>
      <w:r/>
      <w:bookmarkStart w:id="350" w:name="_Toc164608646"/>
      <w:r/>
      <w:bookmarkStart w:id="351" w:name="_Toc164608801"/>
      <w:r/>
      <w:bookmarkStart w:id="352" w:name="_Toc226965805"/>
      <w:r/>
      <w:bookmarkStart w:id="353" w:name="_Toc151193774"/>
      <w:r/>
      <w:bookmarkStart w:id="354" w:name="_Toc149720825"/>
      <w:r/>
      <w:bookmarkStart w:id="355" w:name="_Toc164229373"/>
      <w:r/>
      <w:bookmarkStart w:id="356" w:name="_Toc520356157"/>
      <w:r/>
      <w:bookmarkStart w:id="357" w:name="_Toc164351626"/>
      <w:r/>
      <w:bookmarkStart w:id="358" w:name="_Toc151193920"/>
      <w:r/>
      <w:bookmarkStart w:id="359" w:name="_Toc127151733"/>
      <w:r/>
      <w:bookmarkStart w:id="360" w:name="_Toc127151532"/>
      <w:r/>
      <w:bookmarkStart w:id="361" w:name="_Toc264969222"/>
      <w:r/>
      <w:bookmarkStart w:id="362" w:name="_Toc151190159"/>
      <w:r/>
      <w:bookmarkStart w:id="363" w:name="_Toc151193702"/>
      <w:r/>
      <w:bookmarkStart w:id="364" w:name="_Toc150774632"/>
      <w:r/>
      <w:bookmarkStart w:id="365" w:name="_Toc151193846"/>
      <w:r/>
      <w:bookmarkStart w:id="366" w:name="_Toc164229227"/>
      <w:r/>
      <w:bookmarkStart w:id="367" w:name="_Toc305158800"/>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51193775"/>
      <w:r/>
      <w:bookmarkStart w:id="369" w:name="_Toc150480771"/>
      <w:r/>
      <w:bookmarkStart w:id="370" w:name="_Toc151193921"/>
      <w:r/>
      <w:bookmarkStart w:id="371" w:name="_Toc226965806"/>
      <w:r/>
      <w:bookmarkStart w:id="372" w:name="_Toc264969223"/>
      <w:r/>
      <w:bookmarkStart w:id="373" w:name="_Toc127151734"/>
      <w:r/>
      <w:bookmarkStart w:id="374" w:name="_Toc127161447"/>
      <w:r/>
      <w:bookmarkStart w:id="375" w:name="_Toc164608647"/>
      <w:r/>
      <w:bookmarkStart w:id="376" w:name="_Toc226309777"/>
      <w:r/>
      <w:bookmarkStart w:id="377" w:name="_Toc149720826"/>
      <w:r/>
      <w:bookmarkStart w:id="378" w:name="_Toc305158875"/>
      <w:r/>
      <w:bookmarkStart w:id="379" w:name="_Toc164351627"/>
      <w:r/>
      <w:bookmarkStart w:id="380" w:name="_Toc164229374"/>
      <w:r/>
      <w:bookmarkStart w:id="381" w:name="_Toc150774738"/>
      <w:r/>
      <w:bookmarkStart w:id="382" w:name="_Toc265228371"/>
      <w:r/>
      <w:bookmarkStart w:id="383" w:name="_Toc150509284"/>
      <w:r/>
      <w:bookmarkStart w:id="384" w:name="_Toc150774633"/>
      <w:r/>
      <w:bookmarkStart w:id="385" w:name="_Toc151190160"/>
      <w:r/>
      <w:bookmarkStart w:id="386" w:name="_Toc195842898"/>
      <w:r/>
      <w:bookmarkStart w:id="387" w:name="_Toc142311035"/>
      <w:r/>
      <w:bookmarkStart w:id="388" w:name="_Toc226337229"/>
      <w:r/>
      <w:bookmarkStart w:id="389" w:name="_Toc151193631"/>
      <w:r/>
      <w:bookmarkStart w:id="390" w:name="_Toc164608802"/>
      <w:r/>
      <w:bookmarkStart w:id="391" w:name="_Toc151193847"/>
      <w:r/>
      <w:bookmarkStart w:id="392" w:name="_Toc151193703"/>
      <w:r/>
      <w:bookmarkStart w:id="393" w:name="_Toc164229228"/>
      <w:r/>
      <w:bookmarkStart w:id="394" w:name="_Toc305158801"/>
      <w:r/>
      <w:bookmarkStart w:id="395" w:name="_Toc127151533"/>
      <w:r/>
      <w:bookmarkStart w:id="396" w:name="_Toc226965723"/>
      <w:r/>
      <w:bookmarkStart w:id="397" w:name="_Toc520356158"/>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51193704"/>
      <w:r/>
      <w:bookmarkStart w:id="399" w:name="_Toc142311036"/>
      <w:r/>
      <w:bookmarkStart w:id="400" w:name="_Toc520356159"/>
      <w:r/>
      <w:bookmarkStart w:id="401" w:name="_Toc150774634"/>
      <w:r/>
      <w:bookmarkStart w:id="402" w:name="_Toc151193922"/>
      <w:r/>
      <w:bookmarkStart w:id="403" w:name="_Toc226337230"/>
      <w:r/>
      <w:bookmarkStart w:id="404" w:name="_Toc151193776"/>
      <w:r/>
      <w:bookmarkStart w:id="405" w:name="_Toc264969224"/>
      <w:r/>
      <w:bookmarkStart w:id="406" w:name="_Toc226965724"/>
      <w:r/>
      <w:bookmarkStart w:id="407" w:name="_Toc150509285"/>
      <w:r/>
      <w:bookmarkStart w:id="408" w:name="_Toc151193632"/>
      <w:r/>
      <w:bookmarkStart w:id="409" w:name="_Toc305158802"/>
      <w:r/>
      <w:bookmarkStart w:id="410" w:name="_Toc195842899"/>
      <w:r/>
      <w:bookmarkStart w:id="411" w:name="_Toc226309778"/>
      <w:r/>
      <w:bookmarkStart w:id="412" w:name="_Toc151193848"/>
      <w:r/>
      <w:bookmarkStart w:id="413" w:name="_Toc150480772"/>
      <w:r/>
      <w:bookmarkStart w:id="414" w:name="_Toc226965807"/>
      <w:r/>
      <w:bookmarkStart w:id="415" w:name="_Toc127151534"/>
      <w:r/>
      <w:bookmarkStart w:id="416" w:name="_Toc265228372"/>
      <w:r/>
      <w:bookmarkStart w:id="417" w:name="_Toc150774739"/>
      <w:r/>
      <w:bookmarkStart w:id="418" w:name="_Toc151190161"/>
      <w:r/>
      <w:bookmarkStart w:id="419" w:name="_Toc305158876"/>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68"/>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0"/>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64608649"/>
      <w:r/>
      <w:bookmarkStart w:id="421" w:name="_Toc264969225"/>
      <w:r/>
      <w:bookmarkStart w:id="422" w:name="_Toc226337231"/>
      <w:r/>
      <w:bookmarkStart w:id="423" w:name="_Toc305158803"/>
      <w:r/>
      <w:bookmarkStart w:id="424" w:name="_Toc150774740"/>
      <w:r/>
      <w:bookmarkStart w:id="425" w:name="_Toc142311037"/>
      <w:r/>
      <w:bookmarkStart w:id="426" w:name="_Toc164608804"/>
      <w:r/>
      <w:bookmarkStart w:id="427" w:name="_Toc150774635"/>
      <w:r/>
      <w:bookmarkStart w:id="428" w:name="_Toc127161449"/>
      <w:r/>
      <w:bookmarkStart w:id="429" w:name="_Toc150509286"/>
      <w:r/>
      <w:bookmarkStart w:id="430" w:name="_Toc226965725"/>
      <w:r/>
      <w:bookmarkStart w:id="431" w:name="_Toc151193705"/>
      <w:r/>
      <w:bookmarkStart w:id="432" w:name="_Toc164351629"/>
      <w:r/>
      <w:bookmarkStart w:id="433" w:name="_Toc127151736"/>
      <w:r/>
      <w:bookmarkStart w:id="434" w:name="_Toc164229230"/>
      <w:r/>
      <w:bookmarkStart w:id="435" w:name="_Toc226309779"/>
      <w:r/>
      <w:bookmarkStart w:id="436" w:name="_Toc226965808"/>
      <w:r/>
      <w:bookmarkStart w:id="437" w:name="_Toc195842900"/>
      <w:r/>
      <w:bookmarkStart w:id="438" w:name="_Toc151190162"/>
      <w:r/>
      <w:bookmarkStart w:id="439" w:name="_Toc164229376"/>
      <w:r/>
      <w:bookmarkStart w:id="440" w:name="_Toc149720828"/>
      <w:r/>
      <w:bookmarkStart w:id="441" w:name="_Toc151193923"/>
      <w:r/>
      <w:bookmarkStart w:id="442" w:name="_Toc520356160"/>
      <w:r/>
      <w:bookmarkStart w:id="443" w:name="_Toc305158877"/>
      <w:r/>
      <w:bookmarkStart w:id="444" w:name="_Toc151193633"/>
      <w:r/>
      <w:bookmarkStart w:id="445" w:name="_Toc151193849"/>
      <w:r/>
      <w:bookmarkStart w:id="446" w:name="_Toc150480773"/>
      <w:r/>
      <w:bookmarkStart w:id="447" w:name="_Toc151193777"/>
      <w:r/>
      <w:bookmarkStart w:id="448" w:name="_Toc265228373"/>
      <w:r/>
      <w:bookmarkStart w:id="449" w:name="_Toc127151535"/>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226337232"/>
      <w:r/>
      <w:bookmarkStart w:id="451" w:name="_Toc164229231"/>
      <w:r/>
      <w:bookmarkStart w:id="452" w:name="_Toc520356161"/>
      <w:r/>
      <w:bookmarkStart w:id="453" w:name="_Toc151193634"/>
      <w:r/>
      <w:bookmarkStart w:id="454" w:name="_Toc151193924"/>
      <w:r/>
      <w:bookmarkStart w:id="455" w:name="_Toc226965726"/>
      <w:r/>
      <w:bookmarkStart w:id="456" w:name="_Toc151190163"/>
      <w:r/>
      <w:bookmarkStart w:id="457" w:name="_Toc164608805"/>
      <w:r/>
      <w:bookmarkStart w:id="458" w:name="_Toc265228374"/>
      <w:r/>
      <w:bookmarkStart w:id="459" w:name="_Toc305158878"/>
      <w:r/>
      <w:bookmarkStart w:id="460" w:name="_Toc142311038"/>
      <w:r/>
      <w:bookmarkStart w:id="461" w:name="_Toc226309780"/>
      <w:r/>
      <w:bookmarkStart w:id="462" w:name="_Toc127151737"/>
      <w:r/>
      <w:bookmarkStart w:id="463" w:name="_Toc164608650"/>
      <w:r/>
      <w:bookmarkStart w:id="464" w:name="_Toc264969226"/>
      <w:r/>
      <w:bookmarkStart w:id="465" w:name="_Toc150480774"/>
      <w:r/>
      <w:bookmarkStart w:id="466" w:name="_Toc164229377"/>
      <w:r/>
      <w:bookmarkStart w:id="467" w:name="_Toc226965809"/>
      <w:r/>
      <w:bookmarkStart w:id="468" w:name="_Toc127151536"/>
      <w:r/>
      <w:bookmarkStart w:id="469" w:name="_Toc150509287"/>
      <w:r/>
      <w:bookmarkStart w:id="470" w:name="_Toc149720829"/>
      <w:r/>
      <w:bookmarkStart w:id="471" w:name="_Toc150774741"/>
      <w:r/>
      <w:bookmarkStart w:id="472" w:name="_Toc127161450"/>
      <w:r/>
      <w:bookmarkStart w:id="473" w:name="_Toc150774636"/>
      <w:r/>
      <w:bookmarkStart w:id="474" w:name="_Toc164351630"/>
      <w:r/>
      <w:bookmarkStart w:id="475" w:name="_Toc195842901"/>
      <w:r/>
      <w:bookmarkStart w:id="476" w:name="_Toc151193850"/>
      <w:r/>
      <w:bookmarkStart w:id="477" w:name="_Toc305158804"/>
      <w:r/>
      <w:bookmarkStart w:id="478" w:name="_Toc151193778"/>
      <w:r/>
      <w:bookmarkStart w:id="479" w:name="_Toc151193706"/>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42311039"/>
      <w:r/>
      <w:bookmarkStart w:id="481" w:name="_Toc151193707"/>
      <w:r/>
      <w:bookmarkStart w:id="482" w:name="_Toc150509288"/>
      <w:r/>
      <w:bookmarkStart w:id="483" w:name="_Toc151190164"/>
      <w:r/>
      <w:bookmarkStart w:id="484" w:name="_Toc151193925"/>
      <w:r/>
      <w:bookmarkStart w:id="485" w:name="_Toc264969227"/>
      <w:r/>
      <w:bookmarkStart w:id="486" w:name="_Toc164229378"/>
      <w:r/>
      <w:bookmarkStart w:id="487" w:name="_Toc226965727"/>
      <w:r/>
      <w:bookmarkStart w:id="488" w:name="_Toc226309781"/>
      <w:r/>
      <w:bookmarkStart w:id="489" w:name="_Toc127151738"/>
      <w:r/>
      <w:bookmarkStart w:id="490" w:name="_Toc127151537"/>
      <w:r/>
      <w:bookmarkStart w:id="491" w:name="_Toc164229232"/>
      <w:r/>
      <w:bookmarkStart w:id="492" w:name="_Toc149720830"/>
      <w:r/>
      <w:bookmarkStart w:id="493" w:name="_Toc150480775"/>
      <w:r/>
      <w:bookmarkStart w:id="494" w:name="_Toc164351631"/>
      <w:r/>
      <w:bookmarkStart w:id="495" w:name="_Toc305158879"/>
      <w:r/>
      <w:bookmarkStart w:id="496" w:name="_Toc127161451"/>
      <w:r/>
      <w:bookmarkStart w:id="497" w:name="_Toc164608651"/>
      <w:r/>
      <w:bookmarkStart w:id="498" w:name="_Toc151193635"/>
      <w:r/>
      <w:bookmarkStart w:id="499" w:name="_Toc265228375"/>
      <w:r/>
      <w:bookmarkStart w:id="500" w:name="_Toc164608806"/>
      <w:r/>
      <w:bookmarkStart w:id="501" w:name="_Toc226337233"/>
      <w:r/>
      <w:bookmarkStart w:id="502" w:name="_Toc150774742"/>
      <w:r/>
      <w:bookmarkStart w:id="503" w:name="_Toc305158805"/>
      <w:r/>
      <w:bookmarkStart w:id="504" w:name="_Toc226965810"/>
      <w:r/>
      <w:bookmarkStart w:id="505" w:name="_Toc520356162"/>
      <w:r/>
      <w:bookmarkStart w:id="506" w:name="_Toc151193779"/>
      <w:r/>
      <w:bookmarkStart w:id="507" w:name="_Toc150774637"/>
      <w:r/>
      <w:bookmarkStart w:id="508" w:name="_Toc151193851"/>
      <w:r/>
      <w:bookmarkStart w:id="509" w:name="_Toc195842902"/>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0"/>
        <w:ind w:firstLine="562"/>
        <w:spacing w:before="0" w:line="360" w:lineRule="auto"/>
        <w:rPr>
          <w:rFonts w:hint="eastAsia" w:ascii="宋体" w:hAnsi="宋体" w:eastAsia="宋体" w:cs="宋体"/>
          <w:color w:val="000000"/>
          <w:sz w:val="28"/>
          <w:highlight w:val="none"/>
        </w:rPr>
      </w:pPr>
      <w:r/>
      <w:bookmarkStart w:id="510" w:name="_Toc226337234"/>
      <w:r/>
      <w:bookmarkStart w:id="511" w:name="_Toc264969228"/>
      <w:r/>
      <w:bookmarkStart w:id="512" w:name="_Toc265228376"/>
      <w:r/>
      <w:bookmarkStart w:id="513" w:name="_Toc226965728"/>
      <w:r/>
      <w:bookmarkStart w:id="514" w:name="_Toc305158806"/>
      <w:r/>
      <w:bookmarkStart w:id="515" w:name="_Toc226965811"/>
      <w:r/>
      <w:bookmarkStart w:id="516" w:name="_Toc151190165"/>
      <w:r/>
      <w:bookmarkStart w:id="517" w:name="_Toc142311040"/>
      <w:r/>
      <w:bookmarkStart w:id="518" w:name="_Toc150480776"/>
      <w:r/>
      <w:bookmarkStart w:id="519" w:name="_Toc226309782"/>
      <w:r/>
      <w:bookmarkStart w:id="520" w:name="_Toc151193852"/>
      <w:r/>
      <w:bookmarkStart w:id="521" w:name="_Toc195842903"/>
      <w:r/>
      <w:bookmarkStart w:id="522" w:name="_Toc151193636"/>
      <w:r/>
      <w:bookmarkStart w:id="523" w:name="_Toc151193708"/>
      <w:r/>
      <w:bookmarkStart w:id="524" w:name="_Toc305158880"/>
      <w:r/>
      <w:bookmarkStart w:id="525" w:name="_Toc127151538"/>
      <w:r/>
      <w:bookmarkStart w:id="526" w:name="_Toc151193926"/>
      <w:r/>
      <w:bookmarkStart w:id="527" w:name="_Toc150774743"/>
      <w:r/>
      <w:bookmarkStart w:id="528" w:name="_Toc150509289"/>
      <w:r/>
      <w:bookmarkStart w:id="529" w:name="_Toc151193780"/>
      <w:r/>
      <w:bookmarkStart w:id="530" w:name="_Toc520356163"/>
      <w:r/>
      <w:bookmarkStart w:id="531" w:name="_Toc150774638"/>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51193853"/>
      <w:r/>
      <w:bookmarkStart w:id="533" w:name="_Toc150480777"/>
      <w:r/>
      <w:bookmarkStart w:id="534" w:name="_Toc127151539"/>
      <w:r/>
      <w:bookmarkStart w:id="535" w:name="_Toc164608653"/>
      <w:r/>
      <w:bookmarkStart w:id="536" w:name="_Toc149720832"/>
      <w:r/>
      <w:bookmarkStart w:id="537" w:name="_Toc151193781"/>
      <w:r/>
      <w:bookmarkStart w:id="538" w:name="_Toc142311041"/>
      <w:r/>
      <w:bookmarkStart w:id="539" w:name="_Toc226965812"/>
      <w:r/>
      <w:bookmarkStart w:id="540" w:name="_Toc151193709"/>
      <w:r/>
      <w:bookmarkStart w:id="541" w:name="_Toc151190166"/>
      <w:r/>
      <w:bookmarkStart w:id="542" w:name="_Toc305158881"/>
      <w:r/>
      <w:bookmarkStart w:id="543" w:name="_Toc305158807"/>
      <w:r/>
      <w:bookmarkStart w:id="544" w:name="_Toc127151740"/>
      <w:r/>
      <w:bookmarkStart w:id="545" w:name="_Toc520356164"/>
      <w:r/>
      <w:bookmarkStart w:id="546" w:name="_Toc151193637"/>
      <w:r/>
      <w:bookmarkStart w:id="547" w:name="_Toc164229380"/>
      <w:r/>
      <w:bookmarkStart w:id="548" w:name="_Toc265228377"/>
      <w:r/>
      <w:bookmarkStart w:id="549" w:name="_Toc164351633"/>
      <w:r/>
      <w:bookmarkStart w:id="550" w:name="_Toc150774639"/>
      <w:r/>
      <w:bookmarkStart w:id="551" w:name="_Toc226309783"/>
      <w:r/>
      <w:bookmarkStart w:id="552" w:name="_Toc226965729"/>
      <w:r/>
      <w:bookmarkStart w:id="553" w:name="_Toc164229234"/>
      <w:r/>
      <w:bookmarkStart w:id="554" w:name="_Toc164608808"/>
      <w:r/>
      <w:bookmarkStart w:id="555" w:name="_Toc195842904"/>
      <w:r/>
      <w:bookmarkStart w:id="556" w:name="_Toc150509290"/>
      <w:r/>
      <w:bookmarkStart w:id="557" w:name="_Toc151193927"/>
      <w:r/>
      <w:bookmarkStart w:id="558" w:name="_Toc226337235"/>
      <w:r/>
      <w:bookmarkStart w:id="559" w:name="_Toc264969229"/>
      <w:r/>
      <w:bookmarkStart w:id="560" w:name="_Toc150774744"/>
      <w:r/>
      <w:bookmarkStart w:id="561" w:name="_Toc127161453"/>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68"/>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6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6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6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6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68"/>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226337236"/>
      <w:r/>
      <w:bookmarkStart w:id="564" w:name="_Toc226309784"/>
      <w:r/>
      <w:bookmarkStart w:id="565" w:name="_Toc164229235"/>
      <w:r/>
      <w:bookmarkStart w:id="566" w:name="_Toc151193928"/>
      <w:r/>
      <w:bookmarkStart w:id="567" w:name="_Toc164608809"/>
      <w:r/>
      <w:bookmarkStart w:id="568" w:name="_Toc150774640"/>
      <w:r/>
      <w:bookmarkStart w:id="569" w:name="_Toc142311042"/>
      <w:r/>
      <w:bookmarkStart w:id="570" w:name="_Toc226965730"/>
      <w:r/>
      <w:bookmarkStart w:id="571" w:name="_Toc264969230"/>
      <w:r/>
      <w:bookmarkStart w:id="572" w:name="_Toc150480778"/>
      <w:r/>
      <w:bookmarkStart w:id="573" w:name="_Toc164608654"/>
      <w:r/>
      <w:bookmarkStart w:id="574" w:name="_Toc164351634"/>
      <w:r/>
      <w:bookmarkStart w:id="575" w:name="_Toc151193782"/>
      <w:r/>
      <w:bookmarkStart w:id="576" w:name="_Toc150774745"/>
      <w:r/>
      <w:bookmarkStart w:id="577" w:name="_Toc151193638"/>
      <w:r/>
      <w:bookmarkStart w:id="578" w:name="_Toc151190167"/>
      <w:r/>
      <w:bookmarkStart w:id="579" w:name="_Toc127151741"/>
      <w:r/>
      <w:bookmarkStart w:id="580" w:name="_Toc265228378"/>
      <w:r/>
      <w:bookmarkStart w:id="581" w:name="_Toc164229381"/>
      <w:r/>
      <w:bookmarkStart w:id="582" w:name="_Toc151193710"/>
      <w:r/>
      <w:bookmarkStart w:id="583" w:name="_Toc127151540"/>
      <w:r/>
      <w:bookmarkStart w:id="584" w:name="_Toc195842905"/>
      <w:r/>
      <w:bookmarkStart w:id="585" w:name="_Toc149720833"/>
      <w:r/>
      <w:bookmarkStart w:id="586" w:name="_Toc151193854"/>
      <w:r/>
      <w:bookmarkStart w:id="587" w:name="_Toc127161454"/>
      <w:r/>
      <w:bookmarkStart w:id="588" w:name="_Toc226965813"/>
      <w:r/>
      <w:bookmarkStart w:id="589" w:name="_Toc150509291"/>
      <w:r/>
      <w:bookmarkStart w:id="590" w:name="_Toc305158882"/>
      <w:r/>
      <w:bookmarkStart w:id="591" w:name="_Toc305158808"/>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68"/>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0"/>
        <w:ind w:firstLine="562"/>
        <w:spacing w:before="0" w:line="360" w:lineRule="auto"/>
        <w:rPr>
          <w:rFonts w:hint="eastAsia" w:ascii="宋体" w:hAnsi="宋体" w:eastAsia="宋体" w:cs="宋体"/>
          <w:color w:val="000000"/>
          <w:sz w:val="28"/>
          <w:highlight w:val="none"/>
        </w:rPr>
      </w:pPr>
      <w:r/>
      <w:bookmarkStart w:id="594" w:name="_Toc151193787"/>
      <w:r/>
      <w:bookmarkStart w:id="595" w:name="_Toc226309789"/>
      <w:r/>
      <w:bookmarkStart w:id="596" w:name="_Toc151190172"/>
      <w:r/>
      <w:bookmarkStart w:id="597" w:name="_Toc150509296"/>
      <w:r/>
      <w:bookmarkStart w:id="598" w:name="_Toc265228383"/>
      <w:r/>
      <w:bookmarkStart w:id="599" w:name="_Toc305158813"/>
      <w:r/>
      <w:bookmarkStart w:id="600" w:name="_Toc226337241"/>
      <w:r/>
      <w:bookmarkStart w:id="601" w:name="_Toc151193643"/>
      <w:r/>
      <w:bookmarkStart w:id="602" w:name="_Toc151193933"/>
      <w:r/>
      <w:bookmarkStart w:id="603" w:name="_Toc264969235"/>
      <w:r/>
      <w:bookmarkStart w:id="604" w:name="_Toc226965818"/>
      <w:r/>
      <w:bookmarkStart w:id="605" w:name="_Toc142311047"/>
      <w:r/>
      <w:bookmarkStart w:id="606" w:name="_Toc127151545"/>
      <w:r/>
      <w:bookmarkStart w:id="607" w:name="_Toc226965735"/>
      <w:r/>
      <w:bookmarkStart w:id="608" w:name="_Toc151193715"/>
      <w:r/>
      <w:bookmarkStart w:id="609" w:name="_Toc150774750"/>
      <w:r/>
      <w:bookmarkStart w:id="610" w:name="_Toc195842910"/>
      <w:r/>
      <w:bookmarkStart w:id="611" w:name="_Toc150480783"/>
      <w:r/>
      <w:bookmarkStart w:id="612" w:name="_Toc151193859"/>
      <w:r/>
      <w:bookmarkStart w:id="613" w:name="_Toc305158887"/>
      <w:r/>
      <w:bookmarkStart w:id="614" w:name="_Toc150774645"/>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717"/>
      <w:r/>
      <w:bookmarkStart w:id="616" w:name="_Toc164229242"/>
      <w:r/>
      <w:bookmarkStart w:id="617" w:name="_Toc305158889"/>
      <w:r/>
      <w:bookmarkStart w:id="618" w:name="_Toc164608816"/>
      <w:r/>
      <w:bookmarkStart w:id="619" w:name="_Toc151190174"/>
      <w:r/>
      <w:bookmarkStart w:id="620" w:name="_Toc142311049"/>
      <w:r/>
      <w:bookmarkStart w:id="621" w:name="_Toc150774647"/>
      <w:r/>
      <w:bookmarkStart w:id="622" w:name="_Toc226965737"/>
      <w:r/>
      <w:bookmarkStart w:id="623" w:name="_Toc150509298"/>
      <w:r/>
      <w:bookmarkStart w:id="624" w:name="_Toc265228385"/>
      <w:r/>
      <w:bookmarkStart w:id="625" w:name="_Toc151193861"/>
      <w:r/>
      <w:bookmarkStart w:id="626" w:name="_Toc150480785"/>
      <w:r/>
      <w:bookmarkStart w:id="627" w:name="_Toc164608661"/>
      <w:r/>
      <w:bookmarkStart w:id="628" w:name="_Toc127151547"/>
      <w:r/>
      <w:bookmarkStart w:id="629" w:name="_Toc127151748"/>
      <w:r/>
      <w:bookmarkStart w:id="630" w:name="_Toc149720840"/>
      <w:r/>
      <w:bookmarkStart w:id="631" w:name="_Toc164229388"/>
      <w:r/>
      <w:bookmarkStart w:id="632" w:name="_Toc264969237"/>
      <w:r/>
      <w:bookmarkStart w:id="633" w:name="_Toc164351641"/>
      <w:r/>
      <w:bookmarkStart w:id="634" w:name="_Toc151193645"/>
      <w:r/>
      <w:bookmarkStart w:id="635" w:name="_Toc195842912"/>
      <w:r/>
      <w:bookmarkStart w:id="636" w:name="_Toc150774752"/>
      <w:r/>
      <w:bookmarkStart w:id="637" w:name="_Toc226337243"/>
      <w:r/>
      <w:bookmarkStart w:id="638" w:name="_Toc151193789"/>
      <w:r/>
      <w:bookmarkStart w:id="639" w:name="_Toc305158815"/>
      <w:r/>
      <w:bookmarkStart w:id="640" w:name="_Toc151193935"/>
      <w:r/>
      <w:bookmarkStart w:id="641" w:name="_Toc226309791"/>
      <w:r/>
      <w:bookmarkStart w:id="642" w:name="_Toc226965820"/>
      <w:r/>
      <w:bookmarkStart w:id="643" w:name="_Toc127161461"/>
      <w:r>
        <w:rPr>
          <w:rFonts w:hint="eastAsia" w:ascii="宋体" w:hAnsi="宋体" w:eastAsia="宋体" w:cs="宋体"/>
          <w:color w:val="000000"/>
          <w:sz w:val="28"/>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265228387"/>
      <w:r/>
      <w:bookmarkStart w:id="645" w:name="_Toc226309793"/>
      <w:r/>
      <w:bookmarkStart w:id="646" w:name="_Toc151193791"/>
      <w:r/>
      <w:bookmarkStart w:id="647" w:name="_Toc305158891"/>
      <w:r/>
      <w:bookmarkStart w:id="648" w:name="_Toc226965822"/>
      <w:r/>
      <w:bookmarkStart w:id="649" w:name="_Toc150774649"/>
      <w:r/>
      <w:bookmarkStart w:id="650" w:name="_Toc164608818"/>
      <w:r/>
      <w:bookmarkStart w:id="651" w:name="_Toc151193937"/>
      <w:r/>
      <w:bookmarkStart w:id="652" w:name="_Toc520356176"/>
      <w:r/>
      <w:bookmarkStart w:id="653" w:name="_Ref467306425"/>
      <w:r/>
      <w:bookmarkStart w:id="654" w:name="_Ref467307090"/>
      <w:r/>
      <w:bookmarkStart w:id="655" w:name="_Toc151193647"/>
      <w:r/>
      <w:bookmarkStart w:id="656" w:name="_Toc151193719"/>
      <w:r/>
      <w:bookmarkStart w:id="657" w:name="_Toc164351643"/>
      <w:r/>
      <w:bookmarkStart w:id="658" w:name="_Toc127151750"/>
      <w:r/>
      <w:bookmarkStart w:id="659" w:name="_Toc151193863"/>
      <w:r/>
      <w:bookmarkStart w:id="660" w:name="_Toc150509300"/>
      <w:r/>
      <w:bookmarkStart w:id="661" w:name="_Toc305158817"/>
      <w:r/>
      <w:bookmarkStart w:id="662" w:name="_Toc195842914"/>
      <w:r/>
      <w:bookmarkStart w:id="663" w:name="_Toc150774754"/>
      <w:r/>
      <w:bookmarkStart w:id="664" w:name="_Toc226337245"/>
      <w:r/>
      <w:bookmarkStart w:id="665" w:name="_Toc142311051"/>
      <w:r/>
      <w:bookmarkStart w:id="666" w:name="_Toc151190176"/>
      <w:r/>
      <w:bookmarkStart w:id="667" w:name="_Toc127151549"/>
      <w:r/>
      <w:bookmarkStart w:id="668" w:name="_Toc164229390"/>
      <w:r/>
      <w:bookmarkStart w:id="669" w:name="_Toc226965739"/>
      <w:r/>
      <w:bookmarkStart w:id="670" w:name="_Toc164229244"/>
      <w:r/>
      <w:bookmarkStart w:id="671" w:name="_Toc164608663"/>
      <w:r/>
      <w:bookmarkStart w:id="672" w:name="_Toc127161463"/>
      <w:r/>
      <w:bookmarkStart w:id="673" w:name="_Toc264969239"/>
      <w:r/>
      <w:bookmarkStart w:id="674" w:name="_Toc150480787"/>
      <w:r/>
      <w:bookmarkStart w:id="675" w:name="_Toc149720842"/>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68"/>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0774755"/>
      <w:r/>
      <w:bookmarkStart w:id="677" w:name="_Toc164608819"/>
      <w:r/>
      <w:bookmarkStart w:id="678" w:name="_Toc151193648"/>
      <w:r/>
      <w:bookmarkStart w:id="679" w:name="_Ref467307204"/>
      <w:r/>
      <w:bookmarkStart w:id="680" w:name="_Ref467306377"/>
      <w:r/>
      <w:bookmarkStart w:id="681" w:name="_Toc265228388"/>
      <w:r/>
      <w:bookmarkStart w:id="682" w:name="_Toc127161464"/>
      <w:r/>
      <w:bookmarkStart w:id="683" w:name="_Toc305158818"/>
      <w:r/>
      <w:bookmarkStart w:id="684" w:name="_Toc520356175"/>
      <w:r/>
      <w:bookmarkStart w:id="685" w:name="_Toc150774650"/>
      <w:r/>
      <w:bookmarkStart w:id="686" w:name="_Toc127151550"/>
      <w:r/>
      <w:bookmarkStart w:id="687" w:name="_Toc151193792"/>
      <w:r/>
      <w:bookmarkStart w:id="688" w:name="_Toc151193864"/>
      <w:r/>
      <w:bookmarkStart w:id="689" w:name="_Toc195842915"/>
      <w:r/>
      <w:bookmarkStart w:id="690" w:name="_Toc151193938"/>
      <w:r/>
      <w:bookmarkStart w:id="691" w:name="_Ref467306978"/>
      <w:r/>
      <w:bookmarkStart w:id="692" w:name="_Ref467307062"/>
      <w:r/>
      <w:bookmarkStart w:id="693" w:name="_Toc164351644"/>
      <w:r/>
      <w:bookmarkStart w:id="694" w:name="_Toc150509301"/>
      <w:r/>
      <w:bookmarkStart w:id="695" w:name="_Toc226309794"/>
      <w:r/>
      <w:bookmarkStart w:id="696" w:name="_Toc226337246"/>
      <w:r/>
      <w:bookmarkStart w:id="697" w:name="_Toc164229245"/>
      <w:r/>
      <w:bookmarkStart w:id="698" w:name="_Toc305158892"/>
      <w:r/>
      <w:bookmarkStart w:id="699" w:name="_Toc151190177"/>
      <w:r/>
      <w:bookmarkStart w:id="700" w:name="_Toc264969240"/>
      <w:r/>
      <w:bookmarkStart w:id="701" w:name="_Toc127151751"/>
      <w:r/>
      <w:bookmarkStart w:id="702" w:name="_Toc164229391"/>
      <w:r/>
      <w:bookmarkStart w:id="703" w:name="_Toc150480788"/>
      <w:r/>
      <w:bookmarkStart w:id="704" w:name="_Toc149720843"/>
      <w:r/>
      <w:bookmarkStart w:id="705" w:name="_Toc164608664"/>
      <w:r/>
      <w:bookmarkStart w:id="706" w:name="_Toc142311052"/>
      <w:r/>
      <w:bookmarkStart w:id="707" w:name="_Toc226965823"/>
      <w:r/>
      <w:bookmarkStart w:id="708" w:name="_Toc226965740"/>
      <w:r/>
      <w:bookmarkStart w:id="709" w:name="_Toc151193720"/>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68"/>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3"/>
          <w:rFonts w:hint="eastAsia" w:ascii="宋体" w:hAnsi="宋体" w:cs="宋体"/>
          <w:color w:val="000000"/>
          <w:highlight w:val="none"/>
        </w:rPr>
        <w:t xml:space="preserve">http://gk</w:t>
      </w:r>
      <w:bookmarkStart w:id="710" w:name="_Hlt100654014"/>
      <w:r>
        <w:rPr>
          <w:rStyle w:val="1143"/>
          <w:rFonts w:hint="eastAsia" w:ascii="宋体" w:hAnsi="宋体" w:cs="宋体"/>
          <w:color w:val="000000"/>
          <w:highlight w:val="none"/>
        </w:rPr>
        <w:t xml:space="preserve">s</w:t>
      </w:r>
      <w:bookmarkEnd w:id="710"/>
      <w:r>
        <w:rPr>
          <w:rStyle w:val="1143"/>
          <w:rFonts w:hint="eastAsia" w:ascii="宋体" w:hAnsi="宋体" w:cs="宋体"/>
          <w:color w:val="000000"/>
          <w:highlight w:val="none"/>
        </w:rPr>
        <w:t xml:space="preserve">.m</w:t>
      </w:r>
      <w:bookmarkStart w:id="711" w:name="_Hlt100653993"/>
      <w:r/>
      <w:bookmarkStart w:id="712" w:name="_Hlt100653994"/>
      <w:r>
        <w:rPr>
          <w:rStyle w:val="1143"/>
          <w:rFonts w:hint="eastAsia" w:ascii="宋体" w:hAnsi="宋体" w:cs="宋体"/>
          <w:color w:val="000000"/>
          <w:highlight w:val="none"/>
        </w:rPr>
        <w:t xml:space="preserve">o</w:t>
      </w:r>
      <w:bookmarkEnd w:id="711"/>
      <w:r/>
      <w:bookmarkEnd w:id="712"/>
      <w:r>
        <w:rPr>
          <w:rStyle w:val="1143"/>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68"/>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68"/>
        <w:jc w:val="center"/>
        <w:spacing w:line="360" w:lineRule="auto"/>
        <w:rPr>
          <w:rFonts w:hint="eastAsia" w:ascii="宋体" w:hAnsi="宋体" w:cs="宋体"/>
          <w:b/>
          <w:color w:val="000000"/>
          <w:sz w:val="36"/>
          <w:szCs w:val="36"/>
          <w:highlight w:val="none"/>
        </w:rPr>
        <w:outlineLvl w:val="0"/>
      </w:pPr>
      <w:r/>
      <w:bookmarkStart w:id="713" w:name="_Toc353873664"/>
      <w:r/>
      <w:bookmarkStart w:id="714" w:name="_Toc353825544"/>
      <w:r/>
      <w:bookmarkStart w:id="715" w:name="_Toc305158822"/>
      <w:r/>
      <w:bookmarkStart w:id="716" w:name="_Toc353873934"/>
      <w:r/>
      <w:bookmarkStart w:id="717" w:name="_Toc264969244"/>
      <w:r/>
      <w:bookmarkStart w:id="718" w:name="_Toc150774759"/>
      <w:r/>
      <w:bookmarkStart w:id="719" w:name="_Toc226965827"/>
      <w:r/>
      <w:bookmarkStart w:id="720" w:name="_Toc127151554"/>
      <w:r/>
      <w:bookmarkStart w:id="721" w:name="_Toc226337250"/>
      <w:r/>
      <w:bookmarkStart w:id="722" w:name="_Toc265228392"/>
      <w:r/>
      <w:bookmarkStart w:id="723" w:name="_Toc150480792"/>
      <w:r/>
      <w:bookmarkStart w:id="724" w:name="_Toc142311056"/>
      <w:r/>
      <w:bookmarkStart w:id="725" w:name="_Toc305158896"/>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68"/>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68"/>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68"/>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68"/>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68"/>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68"/>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7" w:type="dxa"/>
            <w:vAlign w:val="center"/>
            <w:textDirection w:val="lrTb"/>
            <w:noWrap w:val="false"/>
          </w:tcPr>
          <w:p>
            <w:pPr>
              <w:pStyle w:val="1068"/>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6" w:type="dxa"/>
            <w:vAlign w:val="center"/>
            <w:textDirection w:val="lrTb"/>
            <w:noWrap w:val="false"/>
          </w:tcPr>
          <w:p>
            <w:pPr>
              <w:pStyle w:val="1068"/>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2" w:type="dxa"/>
            <w:vAlign w:val="center"/>
            <w:textDirection w:val="lrTb"/>
            <w:noWrap w:val="false"/>
          </w:tcPr>
          <w:p>
            <w:pPr>
              <w:pStyle w:val="1068"/>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6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7"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6"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6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7"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6"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2"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6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7"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6"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68"/>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2"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6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7"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6"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6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W w:w="1067"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w:t>
            </w:r>
            <w:r>
              <w:rPr>
                <w:rFonts w:hint="eastAsia" w:ascii="宋体" w:hAnsi="宋体" w:cs="宋体"/>
                <w:color w:val="000000"/>
                <w:sz w:val="24"/>
                <w:highlight w:val="none"/>
              </w:rPr>
            </w:r>
            <w:r/>
          </w:p>
        </w:tc>
        <w:tc>
          <w:tcPr>
            <w:tcW w:w="2596"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1、投标人单独投标的，应提供中小企业声明函；如为监狱企业或残疾人福利性单位，不必提供中小企业声明函，但须按注1或注2要求提供证明材料。</w:t>
            </w:r>
            <w:r>
              <w:rPr>
                <w:rFonts w:hint="eastAsia" w:ascii="宋体" w:hAnsi="宋体" w:cs="宋体"/>
                <w:color w:val="000000"/>
                <w:sz w:val="24"/>
                <w:highlight w:val="none"/>
              </w:rPr>
            </w:r>
            <w:r/>
          </w:p>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color w:val="000000"/>
                <w:sz w:val="24"/>
                <w:highlight w:val="none"/>
              </w:rPr>
            </w:r>
            <w:r/>
          </w:p>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注1：监狱企业须提供由省级以上监狱管理局（常州市含教育矫治局）、戒毒管理局（含新疆生产建设兵团）出具的属于监狱企业的证明文件。</w:t>
            </w:r>
            <w:r>
              <w:rPr>
                <w:rFonts w:hint="eastAsia" w:ascii="宋体" w:hAnsi="宋体" w:cs="宋体"/>
                <w:color w:val="000000"/>
                <w:sz w:val="24"/>
                <w:highlight w:val="none"/>
              </w:rPr>
            </w:r>
            <w:r/>
          </w:p>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注2：残疾人福利性单位须按招标文件要求提供《残疾人福利性单位声明函》。</w:t>
            </w:r>
            <w:r>
              <w:rPr>
                <w:rFonts w:hint="eastAsia" w:ascii="宋体" w:hAnsi="宋体" w:cs="宋体"/>
                <w:color w:val="000000"/>
                <w:sz w:val="24"/>
                <w:highlight w:val="none"/>
              </w:rPr>
            </w:r>
            <w:r/>
          </w:p>
        </w:tc>
        <w:tc>
          <w:tcPr>
            <w:tcW w:w="882"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6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7"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6"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6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7"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6"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6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7"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6"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68"/>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51779"/>
      <w:r/>
      <w:bookmarkStart w:id="731" w:name="_Toc226965858"/>
      <w:r/>
      <w:bookmarkStart w:id="732" w:name="_Toc353873940"/>
      <w:r/>
      <w:bookmarkStart w:id="733" w:name="_Toc127161490"/>
      <w:r/>
      <w:bookmarkStart w:id="734" w:name="_Toc35382555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68"/>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68"/>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68"/>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64608810"/>
      <w:r/>
      <w:bookmarkStart w:id="738" w:name="_Toc151193639"/>
      <w:r/>
      <w:bookmarkStart w:id="739" w:name="_Toc226309785"/>
      <w:r/>
      <w:bookmarkStart w:id="740" w:name="_Toc150480779"/>
      <w:r/>
      <w:bookmarkStart w:id="741" w:name="_Toc164229236"/>
      <w:r/>
      <w:bookmarkStart w:id="742" w:name="_Toc142311043"/>
      <w:r/>
      <w:bookmarkStart w:id="743" w:name="_Toc127151742"/>
      <w:r/>
      <w:bookmarkStart w:id="744" w:name="_Toc265228379"/>
      <w:r/>
      <w:bookmarkStart w:id="745" w:name="_Toc226337237"/>
      <w:r/>
      <w:bookmarkStart w:id="746" w:name="_Toc305158883"/>
      <w:r/>
      <w:bookmarkStart w:id="747" w:name="_Toc127161455"/>
      <w:r/>
      <w:bookmarkStart w:id="748" w:name="_Toc164608655"/>
      <w:r/>
      <w:bookmarkStart w:id="749" w:name="_Toc149720834"/>
      <w:r/>
      <w:bookmarkStart w:id="750" w:name="_Toc164351635"/>
      <w:r/>
      <w:bookmarkStart w:id="751" w:name="_Toc150774746"/>
      <w:r/>
      <w:bookmarkStart w:id="752" w:name="_Toc151193711"/>
      <w:r/>
      <w:bookmarkStart w:id="753" w:name="_Toc226965731"/>
      <w:r/>
      <w:bookmarkStart w:id="754" w:name="_Toc150509292"/>
      <w:r/>
      <w:bookmarkStart w:id="755" w:name="_Toc151193929"/>
      <w:r/>
      <w:bookmarkStart w:id="756" w:name="_Toc305158809"/>
      <w:r/>
      <w:bookmarkStart w:id="757" w:name="_Toc195842906"/>
      <w:r/>
      <w:bookmarkStart w:id="758" w:name="_Toc264969231"/>
      <w:r/>
      <w:bookmarkStart w:id="759" w:name="_Toc150774641"/>
      <w:r/>
      <w:bookmarkStart w:id="760" w:name="_Toc151190168"/>
      <w:r/>
      <w:bookmarkStart w:id="761" w:name="_Toc164229382"/>
      <w:r/>
      <w:bookmarkStart w:id="762" w:name="_Toc151193783"/>
      <w:r/>
      <w:bookmarkStart w:id="763" w:name="_Toc151193855"/>
      <w:r/>
      <w:bookmarkStart w:id="764" w:name="_Toc127151541"/>
      <w:r/>
      <w:bookmarkStart w:id="765" w:name="_Toc226965814"/>
      <w:r/>
      <w:bookmarkStart w:id="766" w:name="_Toc353825551"/>
      <w:r/>
      <w:bookmarkStart w:id="767" w:name="_Toc353873941"/>
      <w:r/>
      <w:bookmarkStart w:id="768" w:name="_Toc353873935"/>
      <w:r/>
      <w:bookmarkStart w:id="769" w:name="_Toc226965828"/>
      <w:r/>
      <w:bookmarkStart w:id="770" w:name="_Toc142311057"/>
      <w:r/>
      <w:bookmarkStart w:id="771" w:name="_Toc353873665"/>
      <w:r/>
      <w:bookmarkStart w:id="772" w:name="_Toc264969245"/>
      <w:r/>
      <w:bookmarkStart w:id="773" w:name="_Toc127151555"/>
      <w:r/>
      <w:bookmarkStart w:id="774" w:name="_Toc226337251"/>
      <w:r/>
      <w:bookmarkStart w:id="775" w:name="_Toc150774760"/>
      <w:r/>
      <w:bookmarkStart w:id="776" w:name="_Toc265228393"/>
      <w:r/>
      <w:bookmarkStart w:id="777" w:name="_Toc195842920"/>
      <w:r/>
      <w:bookmarkStart w:id="778" w:name="_Toc353825545"/>
      <w:r/>
      <w:bookmarkStart w:id="779" w:name="_Toc305158897"/>
      <w:r/>
      <w:bookmarkStart w:id="780" w:name="_Toc305158823"/>
      <w:r/>
      <w:bookmarkStart w:id="781" w:name="_Toc150480793"/>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68"/>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68"/>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68"/>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68"/>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68"/>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68"/>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68"/>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评审过程中出现下列情形之一的，评标委员会应当启动异常低价投标审查程序：</w:t>
      </w:r>
      <w:r>
        <w:rPr>
          <w:rFonts w:hint="eastAsia" w:ascii="宋体" w:hAnsi="宋体" w:cs="宋体"/>
          <w:color w:val="000000"/>
          <w:sz w:val="24"/>
          <w:highlight w:val="none"/>
        </w:rPr>
      </w:r>
      <w:r/>
    </w:p>
    <w:p>
      <w:pPr>
        <w:pStyle w:val="1068"/>
        <w:numPr>
          <w:ilvl w:val="2"/>
          <w:numId w:val="12"/>
        </w:numPr>
        <w:ind w:left="0" w:firstLine="420"/>
        <w:spacing w:line="360" w:lineRule="auto"/>
        <w:tabs>
          <w:tab w:val="left" w:pos="0" w:leader="none"/>
          <w:tab w:val="left" w:pos="567" w:leader="none"/>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投标报价低于采购项目预算50%的，即投标报价＜采购项目预算×50%；</w:t>
      </w:r>
      <w:r>
        <w:rPr>
          <w:rFonts w:hint="eastAsia" w:ascii="宋体" w:hAnsi="宋体" w:cs="宋体"/>
          <w:color w:val="000000"/>
          <w:sz w:val="24"/>
          <w:highlight w:val="none"/>
        </w:rPr>
      </w:r>
      <w:r/>
    </w:p>
    <w:p>
      <w:pPr>
        <w:pStyle w:val="1068"/>
        <w:numPr>
          <w:ilvl w:val="2"/>
          <w:numId w:val="12"/>
        </w:numPr>
        <w:ind w:left="0" w:firstLine="420"/>
        <w:spacing w:line="360" w:lineRule="auto"/>
        <w:tabs>
          <w:tab w:val="left" w:pos="0" w:leader="none"/>
          <w:tab w:val="left" w:pos="567" w:leader="none"/>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68"/>
        <w:numPr>
          <w:ilvl w:val="2"/>
          <w:numId w:val="12"/>
        </w:numPr>
        <w:ind w:left="0" w:firstLine="420"/>
        <w:spacing w:line="360" w:lineRule="auto"/>
        <w:tabs>
          <w:tab w:val="left" w:pos="0" w:leader="none"/>
          <w:tab w:val="left" w:pos="567" w:leader="none"/>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评标委员会认定的供应商报价过低、有可能影响产品质量或者不能诚信履约的其他情形。</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6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6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1"/>
          <w:numId w:val="12"/>
        </w:numPr>
        <w:ind w:left="0" w:right="0" w:firstLine="482"/>
        <w:jc w:val="both"/>
        <w:keepLines w:val="0"/>
        <w:keepNext w:val="0"/>
        <w:spacing w:before="0" w:beforeAutospacing="0" w:after="0" w:afterAutospacing="0" w:line="360" w:lineRule="auto"/>
        <w:widowControl w:val="off"/>
        <w:tabs>
          <w:tab w:val="left" w:pos="0" w:leader="none"/>
          <w:tab w:val="left" w:pos="567" w:leader="none"/>
          <w:tab w:val="left" w:pos="1135" w:leader="none"/>
          <w:tab w:val="left" w:pos="1589" w:leader="none"/>
        </w:tabs>
        <w:rPr>
          <w:rFonts w:hint="eastAsia" w:ascii="宋体" w:hAnsi="宋体" w:eastAsia="宋体" w:cs="宋体"/>
          <w:color w:val="000000"/>
          <w:sz w:val="24"/>
          <w:szCs w:val="24"/>
          <w:highlight w:val="none"/>
          <w:lang w:val="en-US"/>
        </w:rPr>
        <w:suppressLineNumbers w:val="0"/>
      </w:pPr>
      <w:r>
        <w:rPr>
          <w:rFonts w:hint="eastAsia" w:ascii="宋体" w:hAnsi="宋体" w:eastAsia="宋体" w:cs="宋体"/>
          <w:b/>
          <w:bCs/>
          <w:color w:val="000000"/>
          <w:sz w:val="24"/>
          <w:szCs w:val="24"/>
          <w:highlight w:val="none"/>
          <w:lang w:val="en-US" w:eastAsia="zh-CN" w:bidi="ar"/>
        </w:rPr>
        <w:t xml:space="preserve">落实政府采购政策的价格调整</w:t>
      </w:r>
      <w:r>
        <w:rPr>
          <w:rFonts w:hint="eastAsia" w:ascii="宋体" w:hAnsi="宋体" w:eastAsia="宋体" w:cs="宋体"/>
          <w:color w:val="000000"/>
          <w:sz w:val="24"/>
          <w:szCs w:val="24"/>
          <w:highlight w:val="none"/>
          <w:lang w:val="en-US" w:eastAsia="zh-CN" w:bidi="ar"/>
        </w:rPr>
        <w:t xml:space="preserve">：只有符合第二章《投标人须知》5.2、5.9条规定情形的，可以享受政府采购价格扶持政策，用扣除后的价格参加评审；否则，评标时价格不予扣除。</w:t>
      </w:r>
      <w:r>
        <w:rPr>
          <w:rFonts w:hint="eastAsia" w:ascii="宋体" w:hAnsi="宋体" w:eastAsia="宋体" w:cs="宋体"/>
          <w:color w:val="000000"/>
          <w:sz w:val="24"/>
          <w:szCs w:val="24"/>
          <w:highlight w:val="none"/>
          <w:lang w:val="en-US"/>
        </w:rPr>
      </w:r>
      <w:r/>
    </w:p>
    <w:p>
      <w:pPr>
        <w:pStyle w:val="1068"/>
        <w:numPr>
          <w:ilvl w:val="2"/>
          <w:numId w:val="12"/>
        </w:numPr>
        <w:ind w:left="0" w:right="0" w:firstLine="482"/>
        <w:jc w:val="both"/>
        <w:keepLines w:val="0"/>
        <w:keepNext w:val="0"/>
        <w:spacing w:before="0" w:beforeAutospacing="0" w:after="0" w:afterAutospacing="0" w:line="360" w:lineRule="auto"/>
        <w:widowControl w:val="off"/>
        <w:tabs>
          <w:tab w:val="left" w:pos="0" w:leader="none"/>
          <w:tab w:val="left" w:pos="567" w:leader="none"/>
          <w:tab w:val="left" w:pos="1276" w:leader="none"/>
          <w:tab w:val="left" w:pos="1589" w:leader="none"/>
          <w:tab w:val="left" w:pos="1980" w:leader="none"/>
          <w:tab w:val="left" w:pos="2035" w:leader="none"/>
        </w:tabs>
        <w:rPr>
          <w:rFonts w:hint="eastAsia" w:ascii="宋体" w:hAnsi="宋体" w:eastAsia="宋体" w:cs="宋体"/>
          <w:b/>
          <w:bCs/>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eastAsia="zh-CN" w:bidi="ar"/>
        </w:rPr>
        <w:t xml:space="preserve">小微企业</w:t>
      </w:r>
      <w:r>
        <w:rPr>
          <w:rFonts w:hint="eastAsia" w:ascii="宋体" w:hAnsi="宋体" w:eastAsia="宋体" w:cs="宋体"/>
          <w:b/>
          <w:bCs/>
          <w:color w:val="000000"/>
          <w:sz w:val="24"/>
          <w:szCs w:val="24"/>
          <w:highlight w:val="none"/>
          <w:lang w:val="en-US" w:eastAsia="zh-CN" w:bidi="ar"/>
        </w:rPr>
        <w:t xml:space="preserve">价格扣除</w:t>
      </w:r>
      <w:r>
        <w:rPr>
          <w:rFonts w:hint="eastAsia" w:ascii="宋体" w:hAnsi="宋体" w:eastAsia="宋体" w:cs="宋体"/>
          <w:b/>
          <w:bCs/>
          <w:color w:val="000000"/>
          <w:sz w:val="24"/>
          <w:szCs w:val="24"/>
          <w:highlight w:val="none"/>
          <w:lang w:val="en-US"/>
        </w:rPr>
      </w:r>
      <w:r/>
    </w:p>
    <w:p>
      <w:pPr>
        <w:pStyle w:val="1068"/>
        <w:numPr>
          <w:ilvl w:val="3"/>
          <w:numId w:val="12"/>
        </w:numPr>
        <w:ind w:left="0" w:right="0" w:firstLine="480"/>
        <w:jc w:val="both"/>
        <w:keepLines w:val="0"/>
        <w:keepNext w:val="0"/>
        <w:spacing w:before="0" w:beforeAutospacing="0" w:after="0" w:afterAutospacing="0"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对于未预留份额专门面向中小企业采购的采购项目，以及预留份额项目中的非预留部分采购包，对</w:t>
      </w:r>
      <w:r>
        <w:rPr>
          <w:rFonts w:hint="eastAsia" w:ascii="宋体" w:hAnsi="宋体" w:eastAsia="宋体" w:cs="宋体"/>
          <w:b/>
          <w:bCs w:val="0"/>
          <w:color w:val="000000"/>
          <w:sz w:val="24"/>
          <w:szCs w:val="24"/>
          <w:highlight w:val="none"/>
          <w:lang w:val="en-US" w:eastAsia="zh-CN" w:bidi="ar"/>
        </w:rPr>
        <w:t xml:space="preserve">小微企业</w:t>
      </w:r>
      <w:r>
        <w:rPr>
          <w:rFonts w:hint="eastAsia" w:ascii="宋体" w:hAnsi="宋体" w:eastAsia="宋体" w:cs="宋体"/>
          <w:color w:val="000000"/>
          <w:sz w:val="24"/>
          <w:szCs w:val="24"/>
          <w:highlight w:val="none"/>
          <w:lang w:val="en-US" w:eastAsia="zh-CN" w:bidi="ar"/>
        </w:rPr>
        <w:t xml:space="preserve">报价给予</w:t>
      </w:r>
      <w:r>
        <w:rPr>
          <w:rFonts w:hint="eastAsia" w:ascii="宋体" w:hAnsi="宋体" w:eastAsia="宋体" w:cs="宋体"/>
          <w:color w:val="000000"/>
          <w:sz w:val="24"/>
          <w:szCs w:val="24"/>
          <w:highlight w:val="none"/>
          <w:u w:val="single"/>
          <w:lang w:val="en-US" w:eastAsia="zh-CN" w:bidi="ar"/>
        </w:rPr>
        <w:t xml:space="preserve">20</w:t>
      </w:r>
      <w:r>
        <w:rPr>
          <w:rFonts w:hint="eastAsia" w:ascii="宋体" w:hAnsi="宋体" w:eastAsia="宋体" w:cs="宋体"/>
          <w:color w:val="000000"/>
          <w:sz w:val="24"/>
          <w:szCs w:val="24"/>
          <w:highlight w:val="none"/>
          <w:lang w:val="en-US" w:eastAsia="zh-CN" w:bidi="ar"/>
        </w:rPr>
        <w:t xml:space="preserve">%的扣除，用扣除后的价格参加评审。</w:t>
      </w:r>
      <w:r>
        <w:rPr>
          <w:rFonts w:hint="eastAsia" w:ascii="宋体" w:hAnsi="宋体" w:eastAsia="宋体" w:cs="宋体"/>
          <w:color w:val="000000"/>
          <w:sz w:val="24"/>
          <w:szCs w:val="24"/>
          <w:highlight w:val="none"/>
          <w:lang w:val="en-US"/>
        </w:rPr>
      </w:r>
      <w:r/>
    </w:p>
    <w:p>
      <w:pPr>
        <w:pStyle w:val="1068"/>
        <w:numPr>
          <w:ilvl w:val="3"/>
          <w:numId w:val="12"/>
        </w:numPr>
        <w:ind w:left="0" w:right="0" w:firstLine="480"/>
        <w:jc w:val="both"/>
        <w:keepLines w:val="0"/>
        <w:keepNext w:val="0"/>
        <w:spacing w:before="0" w:beforeAutospacing="0" w:after="0" w:afterAutospacing="0"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对于未预留份额专门面向中小企业采购的采购项目，以及预留份额项目中的非预留部分采购包，且接受大中型企业与</w:t>
      </w:r>
      <w:r>
        <w:rPr>
          <w:rFonts w:hint="eastAsia" w:ascii="宋体" w:hAnsi="宋体" w:eastAsia="宋体" w:cs="宋体"/>
          <w:b/>
          <w:bCs w:val="0"/>
          <w:color w:val="000000"/>
          <w:sz w:val="24"/>
          <w:szCs w:val="24"/>
          <w:highlight w:val="none"/>
          <w:lang w:val="en-US" w:eastAsia="zh-CN" w:bidi="ar"/>
        </w:rPr>
        <w:t xml:space="preserve">小微企业</w:t>
      </w:r>
      <w:r>
        <w:rPr>
          <w:rFonts w:hint="eastAsia" w:ascii="宋体" w:hAnsi="宋体" w:eastAsia="宋体" w:cs="宋体"/>
          <w:color w:val="000000"/>
          <w:sz w:val="24"/>
          <w:szCs w:val="24"/>
          <w:highlight w:val="none"/>
          <w:lang w:val="en-US" w:eastAsia="zh-CN" w:bidi="ar"/>
        </w:rPr>
        <w:t xml:space="preserve">组成联合体或者允许大中型企业向一家或者多家</w:t>
      </w:r>
      <w:r>
        <w:rPr>
          <w:rFonts w:hint="eastAsia" w:ascii="宋体" w:hAnsi="宋体" w:eastAsia="宋体" w:cs="宋体"/>
          <w:b/>
          <w:bCs w:val="0"/>
          <w:color w:val="000000"/>
          <w:sz w:val="24"/>
          <w:szCs w:val="24"/>
          <w:highlight w:val="none"/>
          <w:lang w:val="en-US" w:eastAsia="zh-CN" w:bidi="ar"/>
        </w:rPr>
        <w:t xml:space="preserve">小微企业</w:t>
      </w:r>
      <w:r>
        <w:rPr>
          <w:rFonts w:hint="eastAsia" w:ascii="宋体" w:hAnsi="宋体" w:eastAsia="宋体" w:cs="宋体"/>
          <w:color w:val="000000"/>
          <w:sz w:val="24"/>
          <w:szCs w:val="24"/>
          <w:highlight w:val="none"/>
          <w:lang w:val="en-US" w:eastAsia="zh-CN" w:bidi="ar"/>
        </w:rPr>
        <w:t xml:space="preserve">分包的采购项目，对于联合协议或者分包意向协议约定</w:t>
      </w:r>
      <w:r>
        <w:rPr>
          <w:rFonts w:hint="eastAsia" w:ascii="宋体" w:hAnsi="宋体" w:eastAsia="宋体" w:cs="宋体"/>
          <w:b/>
          <w:bCs w:val="0"/>
          <w:color w:val="000000"/>
          <w:sz w:val="24"/>
          <w:szCs w:val="24"/>
          <w:highlight w:val="none"/>
          <w:lang w:val="en-US" w:eastAsia="zh-CN" w:bidi="ar"/>
        </w:rPr>
        <w:t xml:space="preserve">小微企业</w:t>
      </w:r>
      <w:r>
        <w:rPr>
          <w:rFonts w:hint="eastAsia" w:ascii="宋体" w:hAnsi="宋体" w:eastAsia="宋体" w:cs="宋体"/>
          <w:color w:val="000000"/>
          <w:sz w:val="24"/>
          <w:szCs w:val="24"/>
          <w:highlight w:val="none"/>
          <w:lang w:val="en-US" w:eastAsia="zh-CN" w:bidi="ar"/>
        </w:rPr>
        <w:t xml:space="preserve">的合同份额占到合同总金额 30%以上的联合体或者大中型企业的报价给予</w:t>
      </w:r>
      <w:r>
        <w:rPr>
          <w:rFonts w:hint="eastAsia" w:ascii="宋体" w:hAnsi="宋体" w:eastAsia="宋体" w:cs="宋体"/>
          <w:color w:val="000000"/>
          <w:sz w:val="24"/>
          <w:szCs w:val="24"/>
          <w:highlight w:val="none"/>
          <w:u w:val="single"/>
          <w:lang w:val="en-US" w:eastAsia="zh-CN" w:bidi="ar"/>
        </w:rPr>
        <w:t xml:space="preserve">3</w:t>
      </w:r>
      <w:r>
        <w:rPr>
          <w:rFonts w:hint="eastAsia" w:ascii="宋体" w:hAnsi="宋体" w:eastAsia="宋体" w:cs="宋体"/>
          <w:color w:val="000000"/>
          <w:sz w:val="24"/>
          <w:szCs w:val="24"/>
          <w:highlight w:val="none"/>
          <w:lang w:val="en-US" w:eastAsia="zh-CN" w:bidi="ar"/>
        </w:rPr>
        <w:t xml:space="preserve">%的扣除，用扣除后的价格参加评审。</w:t>
      </w:r>
      <w:r>
        <w:rPr>
          <w:rFonts w:hint="eastAsia" w:ascii="宋体" w:hAnsi="宋体" w:eastAsia="宋体" w:cs="宋体"/>
          <w:color w:val="000000"/>
          <w:sz w:val="24"/>
          <w:szCs w:val="24"/>
          <w:highlight w:val="none"/>
          <w:lang w:val="en-US"/>
        </w:rPr>
      </w:r>
      <w:r/>
    </w:p>
    <w:p>
      <w:pPr>
        <w:pStyle w:val="1068"/>
        <w:numPr>
          <w:ilvl w:val="3"/>
          <w:numId w:val="12"/>
        </w:numPr>
        <w:ind w:left="0" w:right="0" w:firstLine="480"/>
        <w:jc w:val="both"/>
        <w:keepLines w:val="0"/>
        <w:keepNext w:val="0"/>
        <w:spacing w:before="0" w:beforeAutospacing="0" w:after="0" w:afterAutospacing="0"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组成联合体或者接受分包的小微企业与联合体内其他企业、分包企业之间存在直接控股、管理关系的，不享受价格扣除优惠政策。</w:t>
      </w:r>
      <w:r>
        <w:rPr>
          <w:rFonts w:hint="eastAsia" w:ascii="宋体" w:hAnsi="宋体" w:eastAsia="宋体" w:cs="宋体"/>
          <w:color w:val="000000"/>
          <w:sz w:val="24"/>
          <w:szCs w:val="24"/>
          <w:highlight w:val="none"/>
          <w:lang w:val="en-US"/>
        </w:rPr>
      </w:r>
      <w:r/>
    </w:p>
    <w:p>
      <w:pPr>
        <w:pStyle w:val="1068"/>
        <w:numPr>
          <w:ilvl w:val="3"/>
          <w:numId w:val="12"/>
        </w:numPr>
        <w:ind w:left="0" w:right="0" w:firstLine="480"/>
        <w:jc w:val="both"/>
        <w:keepLines w:val="0"/>
        <w:keepNext w:val="0"/>
        <w:spacing w:before="0" w:beforeAutospacing="0" w:after="0" w:afterAutospacing="0"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价格扣除比例对小型企业和微型企业同等对待，不作区分。</w:t>
      </w:r>
      <w:r>
        <w:rPr>
          <w:rFonts w:hint="eastAsia" w:ascii="宋体" w:hAnsi="宋体" w:eastAsia="宋体" w:cs="宋体"/>
          <w:color w:val="000000"/>
          <w:sz w:val="24"/>
          <w:szCs w:val="24"/>
          <w:highlight w:val="none"/>
          <w:lang w:val="en-US"/>
        </w:rPr>
      </w:r>
      <w:r/>
    </w:p>
    <w:p>
      <w:pPr>
        <w:pStyle w:val="1068"/>
        <w:numPr>
          <w:ilvl w:val="3"/>
          <w:numId w:val="12"/>
        </w:numPr>
        <w:ind w:left="0" w:right="0" w:firstLine="480"/>
        <w:jc w:val="both"/>
        <w:keepLines w:val="0"/>
        <w:keepNext w:val="0"/>
        <w:spacing w:before="0" w:beforeAutospacing="0" w:after="0" w:afterAutospacing="0"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中小企业参加政府采购活动，应当按照招标文件给定的格式出具《中小企业声明函》，否则不得享受相关中小企业扶持政策。</w:t>
      </w:r>
      <w:r>
        <w:rPr>
          <w:rFonts w:hint="eastAsia" w:ascii="宋体" w:hAnsi="宋体" w:eastAsia="宋体" w:cs="宋体"/>
          <w:color w:val="000000"/>
          <w:sz w:val="24"/>
          <w:szCs w:val="24"/>
          <w:highlight w:val="none"/>
          <w:lang w:val="en-US"/>
        </w:rPr>
      </w:r>
      <w:r/>
    </w:p>
    <w:p>
      <w:pPr>
        <w:pStyle w:val="1068"/>
        <w:numPr>
          <w:ilvl w:val="3"/>
          <w:numId w:val="12"/>
        </w:numPr>
        <w:ind w:left="0" w:right="0" w:firstLine="480"/>
        <w:jc w:val="both"/>
        <w:keepLines w:val="0"/>
        <w:keepNext w:val="0"/>
        <w:spacing w:before="0" w:beforeAutospacing="0" w:after="0" w:afterAutospacing="0"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sz w:val="24"/>
          <w:szCs w:val="24"/>
          <w:highlight w:val="none"/>
          <w:lang w:val="en-US"/>
        </w:rPr>
      </w:r>
      <w:r/>
    </w:p>
    <w:p>
      <w:pPr>
        <w:pStyle w:val="1068"/>
        <w:numPr>
          <w:ilvl w:val="3"/>
          <w:numId w:val="12"/>
        </w:numPr>
        <w:ind w:left="0" w:right="0" w:firstLine="480"/>
        <w:jc w:val="both"/>
        <w:keepLines w:val="0"/>
        <w:keepNext w:val="0"/>
        <w:spacing w:before="0" w:beforeAutospacing="0" w:after="0" w:afterAutospacing="0"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残疾人福利性单位按招标文件要求提供了《残疾人福利性单位声明函》（见附件）的，视同小微企业。</w:t>
      </w:r>
      <w:r>
        <w:rPr>
          <w:rFonts w:hint="eastAsia" w:ascii="宋体" w:hAnsi="宋体" w:eastAsia="宋体" w:cs="宋体"/>
          <w:color w:val="000000"/>
          <w:sz w:val="24"/>
          <w:szCs w:val="24"/>
          <w:highlight w:val="none"/>
          <w:lang w:val="en-US"/>
        </w:rPr>
      </w:r>
      <w:r/>
    </w:p>
    <w:p>
      <w:pPr>
        <w:pStyle w:val="1068"/>
        <w:numPr>
          <w:ilvl w:val="3"/>
          <w:numId w:val="12"/>
        </w:numPr>
        <w:ind w:left="0" w:right="0" w:firstLine="480"/>
        <w:jc w:val="both"/>
        <w:keepLines w:val="0"/>
        <w:keepNext w:val="0"/>
        <w:spacing w:before="0" w:beforeAutospacing="0" w:after="0" w:afterAutospacing="0" w:line="360" w:lineRule="auto"/>
        <w:widowControl w:val="off"/>
        <w:tabs>
          <w:tab w:val="left" w:pos="0" w:leader="none"/>
          <w:tab w:val="left" w:pos="567" w:leader="none"/>
          <w:tab w:val="left" w:pos="1276" w:leader="none"/>
          <w:tab w:val="left" w:pos="1589" w:leader="none"/>
          <w:tab w:val="left" w:pos="2014" w:leader="none"/>
        </w:tabs>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若投标人同时属于小型或微型企业、监狱企业、残疾人福利性单位中的两种及以上，将不重复享受小微企业价格扣减的优惠政策。</w:t>
      </w:r>
      <w:r>
        <w:rPr>
          <w:rFonts w:hint="eastAsia" w:ascii="宋体" w:hAnsi="宋体" w:eastAsia="宋体" w:cs="宋体"/>
          <w:color w:val="000000"/>
          <w:sz w:val="24"/>
          <w:szCs w:val="24"/>
          <w:highlight w:val="none"/>
          <w:lang w:val="en-US"/>
        </w:rPr>
      </w:r>
      <w:r/>
    </w:p>
    <w:p>
      <w:pPr>
        <w:pStyle w:val="1068"/>
        <w:numPr>
          <w:ilvl w:val="2"/>
          <w:numId w:val="12"/>
        </w:numPr>
        <w:ind w:left="0" w:right="0" w:firstLine="482"/>
        <w:jc w:val="both"/>
        <w:keepLines w:val="0"/>
        <w:keepNext w:val="0"/>
        <w:spacing w:before="0" w:beforeAutospacing="0" w:after="0" w:afterAutospacing="0" w:line="360" w:lineRule="auto"/>
        <w:widowControl w:val="off"/>
        <w:tabs>
          <w:tab w:val="left" w:pos="0" w:leader="none"/>
          <w:tab w:val="left" w:pos="567" w:leader="none"/>
          <w:tab w:val="left" w:pos="1276" w:leader="none"/>
          <w:tab w:val="left" w:pos="1589" w:leader="none"/>
          <w:tab w:val="left" w:pos="1980" w:leader="none"/>
          <w:tab w:val="left" w:pos="2035" w:leader="none"/>
        </w:tabs>
        <w:rPr>
          <w:rFonts w:hint="eastAsia" w:ascii="宋体" w:hAnsi="宋体" w:eastAsia="宋体" w:cs="宋体"/>
          <w:b/>
          <w:bCs/>
          <w:color w:val="000000"/>
          <w:sz w:val="24"/>
          <w:szCs w:val="24"/>
          <w:highlight w:val="none"/>
          <w:lang w:val="en-US"/>
        </w:rPr>
        <w:suppressLineNumbers w:val="0"/>
      </w:pPr>
      <w:r>
        <w:rPr>
          <w:rFonts w:hint="eastAsia" w:ascii="宋体" w:hAnsi="宋体" w:eastAsia="宋体" w:cs="宋体"/>
          <w:b/>
          <w:bCs/>
          <w:color w:val="000000"/>
          <w:sz w:val="24"/>
          <w:szCs w:val="24"/>
          <w:highlight w:val="none"/>
          <w:lang w:val="en-US" w:eastAsia="zh-CN" w:bidi="ar"/>
        </w:rPr>
        <w:t xml:space="preserve">采购本国产品的支持政策</w:t>
      </w:r>
      <w:r>
        <w:rPr>
          <w:rFonts w:hint="eastAsia" w:ascii="宋体" w:hAnsi="宋体" w:eastAsia="宋体" w:cs="宋体"/>
          <w:b/>
          <w:bCs/>
          <w:color w:val="000000"/>
          <w:sz w:val="24"/>
          <w:szCs w:val="24"/>
          <w:highlight w:val="none"/>
          <w:lang w:val="en-US"/>
        </w:rPr>
      </w:r>
      <w:r/>
    </w:p>
    <w:p>
      <w:pPr>
        <w:pStyle w:val="1068"/>
        <w:numPr>
          <w:ilvl w:val="3"/>
          <w:numId w:val="12"/>
        </w:numPr>
        <w:ind w:left="0" w:right="0" w:firstLine="480"/>
        <w:jc w:val="both"/>
        <w:keepLines w:val="0"/>
        <w:keepNext w:val="0"/>
        <w:spacing w:before="0" w:beforeAutospacing="0" w:after="0" w:afterAutospacing="0"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本项目政府采购活动中既有本国产品又有非本国产品参与竞争的，依法对本国产品给予价格评审优惠，对本国产品的报价给予</w:t>
      </w:r>
      <w:r>
        <w:rPr>
          <w:rFonts w:hint="eastAsia" w:ascii="宋体" w:hAnsi="宋体" w:eastAsia="宋体" w:cs="宋体"/>
          <w:b/>
          <w:bCs/>
          <w:color w:val="000000"/>
          <w:sz w:val="24"/>
          <w:szCs w:val="24"/>
          <w:highlight w:val="none"/>
          <w:lang w:val="en-US" w:eastAsia="zh-CN" w:bidi="ar"/>
        </w:rPr>
        <w:t xml:space="preserve">20%</w:t>
      </w:r>
      <w:r>
        <w:rPr>
          <w:rFonts w:hint="eastAsia" w:ascii="宋体" w:hAnsi="宋体" w:eastAsia="宋体" w:cs="宋体"/>
          <w:color w:val="000000"/>
          <w:sz w:val="24"/>
          <w:szCs w:val="24"/>
          <w:highlight w:val="none"/>
          <w:lang w:val="en-US" w:eastAsia="zh-CN" w:bidi="ar"/>
        </w:rPr>
        <w:t xml:space="preserve">的价格扣除，用扣除后的价格参与评审。</w:t>
      </w:r>
      <w:r>
        <w:rPr>
          <w:rFonts w:hint="eastAsia" w:ascii="宋体" w:hAnsi="宋体" w:eastAsia="宋体" w:cs="宋体"/>
          <w:color w:val="000000"/>
          <w:sz w:val="24"/>
          <w:szCs w:val="24"/>
          <w:highlight w:val="none"/>
          <w:lang w:val="en-US"/>
        </w:rPr>
      </w:r>
      <w:r/>
    </w:p>
    <w:p>
      <w:pPr>
        <w:pStyle w:val="1068"/>
        <w:numPr>
          <w:ilvl w:val="3"/>
          <w:numId w:val="12"/>
        </w:numPr>
        <w:ind w:left="0" w:right="0" w:firstLine="480"/>
        <w:jc w:val="both"/>
        <w:keepLines w:val="0"/>
        <w:keepNext w:val="0"/>
        <w:spacing w:before="0" w:beforeAutospacing="0" w:after="0" w:afterAutospacing="0"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eastAsia="宋体" w:cs="宋体"/>
          <w:color w:val="000000"/>
          <w:sz w:val="24"/>
          <w:szCs w:val="24"/>
          <w:highlight w:val="none"/>
          <w:lang w:val="en-US"/>
        </w:rPr>
      </w:r>
      <w:r/>
    </w:p>
    <w:p>
      <w:pPr>
        <w:pStyle w:val="1068"/>
        <w:numPr>
          <w:ilvl w:val="3"/>
          <w:numId w:val="12"/>
        </w:numPr>
        <w:ind w:left="0" w:right="0" w:firstLine="480"/>
        <w:jc w:val="both"/>
        <w:keepLines w:val="0"/>
        <w:keepNext w:val="0"/>
        <w:spacing w:before="0" w:beforeAutospacing="0" w:after="0" w:afterAutospacing="0"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投标人需按照招标文件的要求提供《关于符合本国产品标准的声明函》（以下简称《声明函》），如不提供将不享受本国产品价格评审优惠。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lang w:val="en-US"/>
        </w:rPr>
      </w:r>
      <w:r/>
    </w:p>
    <w:p>
      <w:pPr>
        <w:pStyle w:val="1068"/>
        <w:numPr>
          <w:ilvl w:val="3"/>
          <w:numId w:val="12"/>
        </w:numPr>
        <w:ind w:left="0" w:right="0" w:firstLine="480"/>
        <w:jc w:val="both"/>
        <w:keepLines w:val="0"/>
        <w:keepNext w:val="0"/>
        <w:spacing w:before="0" w:beforeAutospacing="0" w:after="0" w:afterAutospacing="0"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val="en-US"/>
        </w:rPr>
      </w:r>
      <w:r/>
    </w:p>
    <w:p>
      <w:pPr>
        <w:pStyle w:val="1068"/>
        <w:numPr>
          <w:ilvl w:val="3"/>
          <w:numId w:val="12"/>
        </w:numPr>
        <w:ind w:left="0" w:right="0" w:firstLine="480"/>
        <w:jc w:val="both"/>
        <w:keepLines w:val="0"/>
        <w:keepNext w:val="0"/>
        <w:spacing w:before="0" w:beforeAutospacing="0" w:after="0" w:afterAutospacing="0"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eastAsia="宋体" w:cs="宋体"/>
          <w:color w:val="000000"/>
          <w:sz w:val="24"/>
          <w:szCs w:val="24"/>
          <w:highlight w:val="none"/>
          <w:lang w:val="en-US"/>
        </w:rPr>
      </w:r>
      <w:r/>
    </w:p>
    <w:p>
      <w:pPr>
        <w:pStyle w:val="1068"/>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6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6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6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264969236"/>
      <w:r/>
      <w:bookmarkStart w:id="784" w:name="_Toc151193934"/>
      <w:r/>
      <w:bookmarkStart w:id="785" w:name="_Toc226337242"/>
      <w:r/>
      <w:bookmarkStart w:id="786" w:name="_Toc164351640"/>
      <w:r/>
      <w:bookmarkStart w:id="787" w:name="_Toc127151546"/>
      <w:r/>
      <w:bookmarkStart w:id="788" w:name="_Toc151193644"/>
      <w:r/>
      <w:bookmarkStart w:id="789" w:name="_Toc151193716"/>
      <w:r/>
      <w:bookmarkStart w:id="790" w:name="_Toc520356170"/>
      <w:r/>
      <w:bookmarkStart w:id="791" w:name="_Toc195842911"/>
      <w:r/>
      <w:bookmarkStart w:id="792" w:name="_Toc127151747"/>
      <w:r/>
      <w:bookmarkStart w:id="793" w:name="_Toc150774751"/>
      <w:r/>
      <w:bookmarkStart w:id="794" w:name="_Ref467307010"/>
      <w:r/>
      <w:bookmarkStart w:id="795" w:name="_Toc305158814"/>
      <w:r/>
      <w:bookmarkStart w:id="796" w:name="_Toc164608815"/>
      <w:r/>
      <w:bookmarkStart w:id="797" w:name="_Toc305158888"/>
      <w:r/>
      <w:bookmarkStart w:id="798" w:name="_Toc151193860"/>
      <w:r/>
      <w:bookmarkStart w:id="799" w:name="_Toc127161460"/>
      <w:r/>
      <w:bookmarkStart w:id="800" w:name="_Toc151193788"/>
      <w:r/>
      <w:bookmarkStart w:id="801" w:name="_Toc150509297"/>
      <w:r/>
      <w:bookmarkStart w:id="802" w:name="_Toc151190173"/>
      <w:r/>
      <w:bookmarkStart w:id="803" w:name="_Toc164229241"/>
      <w:r/>
      <w:bookmarkStart w:id="804" w:name="_Toc226965736"/>
      <w:r/>
      <w:bookmarkStart w:id="805" w:name="_Toc265228384"/>
      <w:r/>
      <w:bookmarkStart w:id="806" w:name="_Toc226965819"/>
      <w:r/>
      <w:bookmarkStart w:id="807" w:name="_Toc149720839"/>
      <w:r/>
      <w:bookmarkStart w:id="808" w:name="_Toc226309790"/>
      <w:r/>
      <w:bookmarkStart w:id="809" w:name="_Toc164608660"/>
      <w:r/>
      <w:bookmarkStart w:id="810" w:name="_Toc150480784"/>
      <w:r/>
      <w:bookmarkStart w:id="811" w:name="_Toc142311048"/>
      <w:r/>
      <w:bookmarkStart w:id="812" w:name="_Toc150774646"/>
      <w:r/>
      <w:bookmarkStart w:id="813" w:name="_Toc164229387"/>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07"/>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07"/>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68"/>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68"/>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68"/>
        <w:jc w:val="center"/>
        <w:spacing w:line="360" w:lineRule="auto"/>
        <w:tabs>
          <w:tab w:val="left" w:pos="360" w:leader="none"/>
          <w:tab w:val="left" w:pos="900" w:leader="none"/>
        </w:tabs>
        <w:rPr>
          <w:rFonts w:hint="eastAsia" w:ascii="宋体" w:hAnsi="宋体"/>
          <w:b/>
          <w:color w:val="000000"/>
          <w:highlight w:val="none"/>
        </w:rPr>
        <w:outlineLvl w:val="1"/>
      </w:pPr>
      <w:r>
        <w:rPr>
          <w:rFonts w:ascii="宋体" w:hAnsi="宋体"/>
          <w:b/>
          <w:color w:val="000000"/>
          <w:sz w:val="24"/>
          <w:highlight w:val="none"/>
        </w:rPr>
        <w:t xml:space="preserve">二、评标标准</w:t>
      </w:r>
      <w:r>
        <w:rPr>
          <w:rFonts w:hint="eastAsia" w:ascii="宋体" w:hAnsi="宋体"/>
          <w:b/>
          <w:color w:val="000000"/>
          <w:highlight w:val="none"/>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6396"/>
      </w:tblGrid>
      <w:tr>
        <w:trPr/>
        <w:tc>
          <w:tcPr>
            <w:tcW w:w="835" w:type="dxa"/>
            <w:vAlign w:val="center"/>
            <w:textDirection w:val="lrTb"/>
            <w:noWrap w:val="false"/>
          </w:tcPr>
          <w:p>
            <w:pPr>
              <w:pStyle w:val="1068"/>
              <w:ind w:firstLine="28"/>
              <w:jc w:val="center"/>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1462" w:type="dxa"/>
            <w:vAlign w:val="center"/>
            <w:textDirection w:val="lrTb"/>
            <w:noWrap w:val="false"/>
          </w:tcPr>
          <w:p>
            <w:pPr>
              <w:pStyle w:val="1068"/>
              <w:ind w:firstLine="28"/>
              <w:jc w:val="center"/>
              <w:rPr>
                <w:rFonts w:ascii="宋体" w:hAnsi="宋体"/>
                <w:b/>
                <w:color w:val="000000"/>
                <w:sz w:val="24"/>
                <w:highlight w:val="none"/>
              </w:rPr>
            </w:pPr>
            <w:r>
              <w:rPr>
                <w:rFonts w:ascii="宋体" w:hAnsi="宋体"/>
                <w:b/>
                <w:color w:val="000000"/>
                <w:sz w:val="24"/>
                <w:highlight w:val="none"/>
              </w:rPr>
              <w:t xml:space="preserve">评分因素</w:t>
            </w:r>
            <w:r>
              <w:rPr>
                <w:rFonts w:ascii="宋体" w:hAnsi="宋体"/>
                <w:b/>
                <w:color w:val="000000"/>
                <w:sz w:val="24"/>
                <w:highlight w:val="none"/>
              </w:rPr>
            </w:r>
            <w:r/>
          </w:p>
        </w:tc>
        <w:tc>
          <w:tcPr>
            <w:tcW w:w="913" w:type="dxa"/>
            <w:vAlign w:val="center"/>
            <w:textDirection w:val="lrTb"/>
            <w:noWrap w:val="false"/>
          </w:tcPr>
          <w:p>
            <w:pPr>
              <w:pStyle w:val="1068"/>
              <w:ind w:firstLine="28"/>
              <w:jc w:val="center"/>
              <w:rPr>
                <w:rFonts w:ascii="宋体" w:hAnsi="宋体"/>
                <w:b/>
                <w:color w:val="000000"/>
                <w:sz w:val="24"/>
                <w:highlight w:val="none"/>
              </w:rPr>
            </w:pPr>
            <w:r>
              <w:rPr>
                <w:rFonts w:ascii="宋体" w:hAnsi="宋体"/>
                <w:b/>
                <w:color w:val="000000"/>
                <w:sz w:val="24"/>
                <w:highlight w:val="none"/>
              </w:rPr>
              <w:t xml:space="preserve">分值</w:t>
            </w:r>
            <w:r>
              <w:rPr>
                <w:rFonts w:ascii="宋体" w:hAnsi="宋体"/>
                <w:b/>
                <w:color w:val="000000"/>
                <w:sz w:val="24"/>
                <w:highlight w:val="none"/>
              </w:rPr>
            </w:r>
            <w:r/>
          </w:p>
        </w:tc>
        <w:tc>
          <w:tcPr>
            <w:tcW w:w="6396" w:type="dxa"/>
            <w:vAlign w:val="center"/>
            <w:textDirection w:val="lrTb"/>
            <w:noWrap w:val="false"/>
          </w:tcPr>
          <w:p>
            <w:pPr>
              <w:pStyle w:val="1068"/>
              <w:ind w:firstLine="28"/>
              <w:jc w:val="center"/>
              <w:rPr>
                <w:rFonts w:ascii="宋体" w:hAnsi="宋体"/>
                <w:b/>
                <w:color w:val="000000"/>
                <w:sz w:val="24"/>
                <w:highlight w:val="none"/>
              </w:rPr>
            </w:pPr>
            <w:r>
              <w:rPr>
                <w:rFonts w:ascii="宋体" w:hAnsi="宋体"/>
                <w:b/>
                <w:color w:val="000000"/>
                <w:sz w:val="24"/>
                <w:highlight w:val="none"/>
              </w:rPr>
              <w:t xml:space="preserve">评分标准</w:t>
            </w:r>
            <w:r>
              <w:rPr>
                <w:rFonts w:ascii="宋体" w:hAnsi="宋体"/>
                <w:b/>
                <w:color w:val="000000"/>
                <w:sz w:val="24"/>
                <w:highlight w:val="none"/>
              </w:rPr>
            </w:r>
            <w:r/>
          </w:p>
        </w:tc>
      </w:tr>
      <w:tr>
        <w:trPr>
          <w:trHeight w:val="631"/>
        </w:trPr>
        <w:tc>
          <w:tcPr>
            <w:tcW w:w="835" w:type="dxa"/>
            <w:vAlign w:val="center"/>
            <w:textDirection w:val="lrTb"/>
            <w:noWrap w:val="false"/>
          </w:tcPr>
          <w:p>
            <w:pPr>
              <w:pStyle w:val="1068"/>
              <w:ind w:firstLine="28"/>
              <w:jc w:val="center"/>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r>
            <w:r/>
          </w:p>
        </w:tc>
        <w:tc>
          <w:tcPr>
            <w:tcW w:w="1462" w:type="dxa"/>
            <w:vAlign w:val="center"/>
            <w:textDirection w:val="lrTb"/>
            <w:noWrap w:val="false"/>
          </w:tcPr>
          <w:p>
            <w:pPr>
              <w:pStyle w:val="1068"/>
              <w:ind w:firstLine="28"/>
              <w:jc w:val="center"/>
              <w:rPr>
                <w:rFonts w:ascii="宋体" w:hAnsi="宋体"/>
                <w:color w:val="000000"/>
                <w:sz w:val="24"/>
                <w:highlight w:val="none"/>
              </w:rPr>
            </w:pPr>
            <w:r>
              <w:rPr>
                <w:rFonts w:hint="eastAsia" w:ascii="宋体" w:hAnsi="宋体"/>
                <w:color w:val="000000"/>
                <w:sz w:val="24"/>
                <w:highlight w:val="none"/>
              </w:rPr>
              <w:t xml:space="preserve">价格分</w:t>
            </w:r>
            <w:r>
              <w:rPr>
                <w:rFonts w:ascii="宋体" w:hAnsi="宋体"/>
                <w:color w:val="000000"/>
                <w:sz w:val="24"/>
                <w:highlight w:val="none"/>
              </w:rPr>
            </w:r>
            <w:r/>
          </w:p>
        </w:tc>
        <w:tc>
          <w:tcPr>
            <w:tcW w:w="913" w:type="dxa"/>
            <w:vAlign w:val="center"/>
            <w:textDirection w:val="lrTb"/>
            <w:noWrap w:val="false"/>
          </w:tcPr>
          <w:p>
            <w:pPr>
              <w:pStyle w:val="1068"/>
              <w:ind w:firstLine="28"/>
              <w:jc w:val="center"/>
              <w:rPr>
                <w:rFonts w:ascii="宋体" w:hAnsi="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r>
            <w:r/>
          </w:p>
        </w:tc>
        <w:tc>
          <w:tcPr>
            <w:tcW w:w="6396" w:type="dxa"/>
            <w:vAlign w:val="center"/>
            <w:textDirection w:val="lrTb"/>
            <w:noWrap w:val="false"/>
          </w:tcPr>
          <w:p>
            <w:pPr>
              <w:pStyle w:val="1068"/>
              <w:rPr>
                <w:rFonts w:ascii="宋体" w:hAnsi="宋体"/>
                <w:color w:val="000000"/>
                <w:sz w:val="24"/>
                <w:highlight w:val="none"/>
              </w:rPr>
            </w:pPr>
            <w:r>
              <w:rPr>
                <w:rFonts w:ascii="宋体" w:hAnsi="宋体"/>
                <w:color w:val="000000"/>
                <w:sz w:val="24"/>
                <w:highlight w:val="none"/>
              </w:rPr>
              <w:t xml:space="preserve">满足招标文件要求且投标价格最低的投标报价为评标基准价，其价格分为满分。其他投标人的价格分统一按照下列公式计算：</w:t>
            </w:r>
            <w:r>
              <w:rPr>
                <w:rFonts w:ascii="宋体" w:hAnsi="宋体"/>
                <w:color w:val="000000"/>
                <w:sz w:val="24"/>
                <w:highlight w:val="none"/>
              </w:rPr>
            </w:r>
            <w:r/>
          </w:p>
          <w:p>
            <w:pPr>
              <w:pStyle w:val="1068"/>
              <w:rPr>
                <w:rFonts w:ascii="宋体" w:hAnsi="宋体"/>
                <w:color w:val="000000"/>
                <w:sz w:val="24"/>
                <w:highlight w:val="none"/>
              </w:rPr>
            </w:pPr>
            <w:r>
              <w:rPr>
                <w:rFonts w:ascii="宋体" w:hAnsi="宋体"/>
                <w:color w:val="000000"/>
                <w:sz w:val="24"/>
                <w:highlight w:val="none"/>
              </w:rPr>
              <w:t xml:space="preserve">投标报价得分＝（评标基准价/投标报价）×分值。</w:t>
            </w:r>
            <w:r>
              <w:rPr>
                <w:rFonts w:ascii="宋体" w:hAnsi="宋体"/>
                <w:color w:val="000000"/>
                <w:sz w:val="24"/>
                <w:highlight w:val="none"/>
              </w:rPr>
            </w:r>
            <w:r/>
          </w:p>
          <w:p>
            <w:pPr>
              <w:pStyle w:val="1068"/>
              <w:rPr>
                <w:rFonts w:hint="eastAsia" w:ascii="宋体" w:hAnsi="宋体"/>
                <w:b/>
                <w:color w:val="000000"/>
                <w:sz w:val="24"/>
                <w:highlight w:val="none"/>
              </w:rPr>
            </w:pPr>
            <w:r>
              <w:rPr>
                <w:rFonts w:hint="eastAsia" w:ascii="宋体" w:hAnsi="宋体"/>
                <w:b/>
                <w:color w:val="000000"/>
                <w:sz w:val="24"/>
                <w:highlight w:val="none"/>
              </w:rPr>
              <w:t xml:space="preserve">此处投标报价指经过报价修正，及</w:t>
            </w:r>
            <w:r>
              <w:rPr>
                <w:rFonts w:ascii="宋体" w:hAnsi="宋体"/>
                <w:b/>
                <w:color w:val="000000"/>
                <w:sz w:val="24"/>
                <w:highlight w:val="none"/>
              </w:rPr>
              <w:t xml:space="preserve">因落实政府采购政策进行价格调整</w:t>
            </w:r>
            <w:r>
              <w:rPr>
                <w:rFonts w:hint="eastAsia" w:ascii="宋体" w:hAnsi="宋体"/>
                <w:b/>
                <w:color w:val="000000"/>
                <w:sz w:val="24"/>
                <w:highlight w:val="none"/>
              </w:rPr>
              <w:t xml:space="preserve">后</w:t>
            </w:r>
            <w:r>
              <w:rPr>
                <w:rFonts w:ascii="宋体" w:hAnsi="宋体"/>
                <w:b/>
                <w:color w:val="000000"/>
                <w:sz w:val="24"/>
                <w:highlight w:val="none"/>
              </w:rPr>
              <w:t xml:space="preserve">的</w:t>
            </w:r>
            <w:r>
              <w:rPr>
                <w:rFonts w:hint="eastAsia" w:ascii="宋体" w:hAnsi="宋体"/>
                <w:b/>
                <w:color w:val="000000"/>
                <w:sz w:val="24"/>
                <w:highlight w:val="none"/>
              </w:rPr>
              <w:t xml:space="preserve">报价</w:t>
            </w:r>
            <w:r>
              <w:rPr>
                <w:rFonts w:ascii="宋体" w:hAnsi="宋体"/>
                <w:b/>
                <w:color w:val="000000"/>
                <w:sz w:val="24"/>
                <w:highlight w:val="none"/>
              </w:rPr>
              <w:t xml:space="preserve">，详见第</w:t>
            </w:r>
            <w:r>
              <w:rPr>
                <w:rFonts w:hint="eastAsia" w:ascii="宋体" w:hAnsi="宋体"/>
                <w:b/>
                <w:color w:val="000000"/>
                <w:sz w:val="24"/>
                <w:highlight w:val="none"/>
              </w:rPr>
              <w:t xml:space="preserve">三</w:t>
            </w:r>
            <w:r>
              <w:rPr>
                <w:rFonts w:ascii="宋体" w:hAnsi="宋体"/>
                <w:b/>
                <w:color w:val="000000"/>
                <w:sz w:val="24"/>
                <w:highlight w:val="none"/>
              </w:rPr>
              <w:t xml:space="preserve">章《评标方法和评标标准》</w:t>
            </w:r>
            <w:r>
              <w:rPr>
                <w:rFonts w:hint="eastAsia" w:ascii="宋体" w:hAnsi="宋体"/>
                <w:b/>
                <w:color w:val="000000"/>
                <w:sz w:val="24"/>
                <w:highlight w:val="none"/>
              </w:rPr>
              <w:t xml:space="preserve">2</w:t>
            </w:r>
            <w:r>
              <w:rPr>
                <w:rFonts w:ascii="宋体" w:hAnsi="宋体"/>
                <w:b/>
                <w:color w:val="000000"/>
                <w:sz w:val="24"/>
                <w:highlight w:val="none"/>
              </w:rPr>
              <w:t xml:space="preserve">.4</w:t>
            </w:r>
            <w:r>
              <w:rPr>
                <w:rFonts w:hint="eastAsia" w:ascii="宋体" w:hAnsi="宋体"/>
                <w:b/>
                <w:color w:val="000000"/>
                <w:sz w:val="24"/>
                <w:highlight w:val="none"/>
              </w:rPr>
              <w:t xml:space="preserve">及</w:t>
            </w:r>
            <w:r>
              <w:rPr>
                <w:rFonts w:ascii="宋体" w:hAnsi="宋体"/>
                <w:b/>
                <w:color w:val="000000"/>
                <w:sz w:val="24"/>
                <w:highlight w:val="none"/>
              </w:rPr>
              <w:t xml:space="preserve">2.5。</w:t>
            </w:r>
            <w:r>
              <w:rPr>
                <w:rFonts w:hint="eastAsia" w:ascii="宋体" w:hAnsi="宋体"/>
                <w:b/>
                <w:color w:val="000000"/>
                <w:sz w:val="24"/>
                <w:highlight w:val="none"/>
              </w:rPr>
            </w:r>
            <w:r/>
          </w:p>
        </w:tc>
      </w:tr>
      <w:tr>
        <w:trPr/>
        <w:tc>
          <w:tcPr>
            <w:tcW w:w="835" w:type="dxa"/>
            <w:vAlign w:val="center"/>
            <w:textDirection w:val="lrTb"/>
            <w:noWrap w:val="false"/>
          </w:tcPr>
          <w:p>
            <w:pPr>
              <w:pStyle w:val="1068"/>
              <w:ind w:firstLine="28"/>
              <w:jc w:val="center"/>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462" w:type="dxa"/>
            <w:vAlign w:val="center"/>
            <w:textDirection w:val="lrTb"/>
            <w:noWrap w:val="false"/>
          </w:tcPr>
          <w:p>
            <w:pPr>
              <w:pStyle w:val="1068"/>
              <w:ind w:firstLine="28"/>
              <w:jc w:val="center"/>
              <w:rPr>
                <w:rFonts w:ascii="宋体" w:hAnsi="宋体"/>
                <w:color w:val="000000"/>
                <w:sz w:val="24"/>
                <w:highlight w:val="none"/>
              </w:rPr>
            </w:pPr>
            <w:r>
              <w:rPr>
                <w:rFonts w:hint="eastAsia" w:ascii="宋体" w:hAnsi="宋体"/>
                <w:color w:val="000000"/>
                <w:sz w:val="24"/>
                <w:highlight w:val="none"/>
              </w:rPr>
              <w:t xml:space="preserve">主观分</w:t>
            </w:r>
            <w:r>
              <w:rPr>
                <w:rFonts w:ascii="宋体" w:hAnsi="宋体"/>
                <w:color w:val="000000"/>
                <w:sz w:val="24"/>
                <w:highlight w:val="none"/>
              </w:rPr>
            </w:r>
            <w:r/>
          </w:p>
        </w:tc>
        <w:tc>
          <w:tcPr>
            <w:tcW w:w="913" w:type="dxa"/>
            <w:vAlign w:val="center"/>
            <w:textDirection w:val="lrTb"/>
            <w:noWrap w:val="false"/>
          </w:tcPr>
          <w:p>
            <w:pPr>
              <w:pStyle w:val="1068"/>
              <w:ind w:firstLine="28"/>
              <w:jc w:val="center"/>
              <w:rPr>
                <w:rFonts w:ascii="宋体" w:hAnsi="宋体"/>
                <w:color w:val="000000"/>
                <w:sz w:val="24"/>
                <w:highlight w:val="none"/>
              </w:rPr>
            </w:pPr>
            <w:r>
              <w:rPr>
                <w:rFonts w:hint="eastAsia" w:ascii="宋体" w:hAnsi="宋体"/>
                <w:color w:val="000000"/>
                <w:sz w:val="24"/>
                <w:highlight w:val="none"/>
              </w:rPr>
              <w:t xml:space="preserve">55</w:t>
            </w:r>
            <w:r>
              <w:rPr>
                <w:rFonts w:ascii="宋体" w:hAnsi="宋体"/>
                <w:color w:val="000000"/>
                <w:sz w:val="24"/>
                <w:highlight w:val="none"/>
              </w:rPr>
            </w:r>
            <w:r/>
          </w:p>
        </w:tc>
        <w:tc>
          <w:tcPr>
            <w:tcW w:w="6396" w:type="dxa"/>
            <w:vAlign w:val="center"/>
            <w:textDirection w:val="lrTb"/>
            <w:noWrap w:val="false"/>
          </w:tcPr>
          <w:p>
            <w:pPr>
              <w:pStyle w:val="1068"/>
              <w:rPr>
                <w:rFonts w:ascii="宋体" w:hAnsi="宋体"/>
                <w:color w:val="000000"/>
                <w:sz w:val="24"/>
                <w:highlight w:val="none"/>
              </w:rPr>
            </w:pPr>
            <w:r>
              <w:rPr>
                <w:rFonts w:ascii="宋体" w:hAnsi="宋体"/>
                <w:color w:val="000000"/>
                <w:sz w:val="24"/>
                <w:highlight w:val="none"/>
              </w:rPr>
            </w:r>
            <w:r/>
          </w:p>
        </w:tc>
      </w:tr>
      <w:tr>
        <w:trPr/>
        <w:tc>
          <w:tcPr>
            <w:tcW w:w="835" w:type="dxa"/>
            <w:vAlign w:val="center"/>
            <w:textDirection w:val="lrTb"/>
            <w:noWrap w:val="false"/>
          </w:tcPr>
          <w:p>
            <w:pPr>
              <w:pStyle w:val="1068"/>
              <w:ind w:firstLine="28"/>
              <w:jc w:val="center"/>
              <w:rPr>
                <w:rFonts w:ascii="宋体" w:hAnsi="宋体"/>
                <w:color w:val="000000"/>
                <w:sz w:val="24"/>
                <w:highlight w:val="none"/>
              </w:rPr>
            </w:pPr>
            <w:r>
              <w:rPr>
                <w:rFonts w:hint="eastAsia" w:ascii="宋体" w:hAnsi="宋体"/>
                <w:color w:val="000000"/>
                <w:sz w:val="24"/>
                <w:highlight w:val="none"/>
              </w:rPr>
              <w:t xml:space="preserve">2.1</w:t>
            </w:r>
            <w:r>
              <w:rPr>
                <w:rFonts w:ascii="宋体" w:hAnsi="宋体"/>
                <w:color w:val="000000"/>
                <w:sz w:val="24"/>
                <w:highlight w:val="none"/>
              </w:rPr>
            </w:r>
            <w:r/>
          </w:p>
        </w:tc>
        <w:tc>
          <w:tcPr>
            <w:tcW w:w="1462" w:type="dxa"/>
            <w:vAlign w:val="center"/>
            <w:textDirection w:val="lrTb"/>
            <w:noWrap w:val="false"/>
          </w:tcPr>
          <w:p>
            <w:pPr>
              <w:pStyle w:val="1068"/>
              <w:ind w:firstLine="28"/>
              <w:jc w:val="center"/>
              <w:rPr>
                <w:rFonts w:ascii="宋体" w:hAnsi="宋体"/>
                <w:color w:val="000000"/>
                <w:sz w:val="24"/>
                <w:highlight w:val="none"/>
              </w:rPr>
            </w:pPr>
            <w:r>
              <w:rPr>
                <w:rFonts w:hint="eastAsia" w:ascii="宋体" w:hAnsi="宋体"/>
                <w:color w:val="000000"/>
                <w:sz w:val="24"/>
                <w:highlight w:val="none"/>
              </w:rPr>
              <w:t xml:space="preserve">总体设想</w:t>
            </w:r>
            <w:r>
              <w:rPr>
                <w:rFonts w:ascii="宋体" w:hAnsi="宋体"/>
                <w:color w:val="000000"/>
                <w:sz w:val="24"/>
                <w:highlight w:val="none"/>
              </w:rPr>
            </w:r>
            <w:r/>
          </w:p>
        </w:tc>
        <w:tc>
          <w:tcPr>
            <w:tcW w:w="913" w:type="dxa"/>
            <w:vAlign w:val="center"/>
            <w:textDirection w:val="lrTb"/>
            <w:noWrap w:val="false"/>
          </w:tcPr>
          <w:p>
            <w:pPr>
              <w:pStyle w:val="1068"/>
              <w:ind w:firstLine="28"/>
              <w:jc w:val="center"/>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rPr>
                <w:rFonts w:ascii="宋体" w:hAnsi="宋体"/>
                <w:color w:val="000000"/>
                <w:sz w:val="24"/>
                <w:highlight w:val="none"/>
              </w:rPr>
            </w:r>
            <w:r/>
          </w:p>
        </w:tc>
        <w:tc>
          <w:tcPr>
            <w:tcW w:w="6396" w:type="dxa"/>
            <w:vAlign w:val="center"/>
            <w:textDirection w:val="lrTb"/>
            <w:noWrap w:val="false"/>
          </w:tcPr>
          <w:p>
            <w:pPr>
              <w:pStyle w:val="1068"/>
              <w:rPr>
                <w:rFonts w:ascii="宋体" w:hAnsi="宋体"/>
                <w:color w:val="000000"/>
                <w:sz w:val="24"/>
                <w:highlight w:val="none"/>
              </w:rPr>
            </w:pPr>
            <w:r>
              <w:rPr>
                <w:rFonts w:hint="eastAsia" w:ascii="宋体" w:hAnsi="宋体"/>
                <w:color w:val="000000"/>
                <w:sz w:val="24"/>
                <w:highlight w:val="none"/>
              </w:rPr>
              <w:t xml:space="preserve">根据投标人针对本项目制定对检测工作的试验检测总体设想及组织机构框图，由评标委员会进行综合评定，内容详实、方案科学合理的得</w:t>
            </w:r>
            <w:r>
              <w:rPr>
                <w:rFonts w:ascii="宋体" w:hAnsi="宋体"/>
                <w:color w:val="000000"/>
                <w:sz w:val="24"/>
                <w:highlight w:val="none"/>
              </w:rPr>
              <w:t xml:space="preserve">10</w:t>
            </w:r>
            <w:r>
              <w:rPr>
                <w:rFonts w:hint="eastAsia" w:ascii="宋体" w:hAnsi="宋体"/>
                <w:color w:val="000000"/>
                <w:sz w:val="24"/>
                <w:highlight w:val="none"/>
              </w:rPr>
              <w:t xml:space="preserve">分；内容较为详实、方案较科学合理的得</w:t>
            </w:r>
            <w:r>
              <w:rPr>
                <w:rFonts w:ascii="宋体" w:hAnsi="宋体"/>
                <w:color w:val="000000"/>
                <w:sz w:val="24"/>
                <w:highlight w:val="none"/>
              </w:rPr>
              <w:t xml:space="preserve">8</w:t>
            </w:r>
            <w:r>
              <w:rPr>
                <w:rFonts w:hint="eastAsia" w:ascii="宋体" w:hAnsi="宋体"/>
                <w:color w:val="000000"/>
                <w:sz w:val="24"/>
                <w:highlight w:val="none"/>
              </w:rPr>
              <w:t xml:space="preserve">分；内容基本符合采购需求的得6分；内容一般的得4分；内容详实度较低、方案简单的得</w:t>
            </w:r>
            <w:r>
              <w:rPr>
                <w:rFonts w:ascii="宋体" w:hAnsi="宋体"/>
                <w:color w:val="000000"/>
                <w:sz w:val="24"/>
                <w:highlight w:val="none"/>
              </w:rPr>
              <w:t xml:space="preserve">2</w:t>
            </w:r>
            <w:r>
              <w:rPr>
                <w:rFonts w:hint="eastAsia" w:ascii="宋体" w:hAnsi="宋体"/>
                <w:color w:val="000000"/>
                <w:sz w:val="24"/>
                <w:highlight w:val="none"/>
              </w:rPr>
              <w:t xml:space="preserve">分；未提供不得分。</w:t>
            </w:r>
            <w:r>
              <w:rPr>
                <w:rFonts w:ascii="宋体" w:hAnsi="宋体"/>
                <w:color w:val="000000"/>
                <w:sz w:val="24"/>
                <w:highlight w:val="none"/>
              </w:rPr>
            </w:r>
            <w:r/>
          </w:p>
        </w:tc>
      </w:tr>
      <w:tr>
        <w:trPr/>
        <w:tc>
          <w:tcPr>
            <w:tcW w:w="835" w:type="dxa"/>
            <w:vAlign w:val="center"/>
            <w:textDirection w:val="lrTb"/>
            <w:noWrap w:val="false"/>
          </w:tcPr>
          <w:p>
            <w:pPr>
              <w:pStyle w:val="1068"/>
              <w:ind w:firstLine="28"/>
              <w:jc w:val="center"/>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r>
            <w:r/>
          </w:p>
        </w:tc>
        <w:tc>
          <w:tcPr>
            <w:tcW w:w="1462" w:type="dxa"/>
            <w:vAlign w:val="center"/>
            <w:textDirection w:val="lrTb"/>
            <w:noWrap w:val="false"/>
          </w:tcPr>
          <w:p>
            <w:pPr>
              <w:pStyle w:val="1068"/>
              <w:ind w:firstLine="28"/>
              <w:jc w:val="center"/>
              <w:rPr>
                <w:rFonts w:hint="eastAsia" w:ascii="宋体" w:hAnsi="宋体"/>
                <w:color w:val="000000"/>
                <w:sz w:val="24"/>
                <w:highlight w:val="none"/>
              </w:rPr>
            </w:pPr>
            <w:r>
              <w:rPr>
                <w:rFonts w:hint="eastAsia" w:ascii="宋体" w:hAnsi="宋体"/>
                <w:color w:val="000000"/>
                <w:sz w:val="24"/>
                <w:highlight w:val="none"/>
              </w:rPr>
              <w:t xml:space="preserve">项目实施方案</w:t>
            </w:r>
            <w:r>
              <w:rPr>
                <w:rFonts w:hint="eastAsia" w:ascii="宋体" w:hAnsi="宋体"/>
                <w:color w:val="000000"/>
                <w:sz w:val="24"/>
                <w:highlight w:val="none"/>
              </w:rPr>
            </w:r>
            <w:r/>
          </w:p>
        </w:tc>
        <w:tc>
          <w:tcPr>
            <w:tcW w:w="913" w:type="dxa"/>
            <w:vAlign w:val="center"/>
            <w:textDirection w:val="lrTb"/>
            <w:noWrap w:val="false"/>
          </w:tcPr>
          <w:p>
            <w:pPr>
              <w:pStyle w:val="1068"/>
              <w:ind w:firstLine="28"/>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rPr>
                <w:rFonts w:hint="eastAsia" w:ascii="宋体" w:hAnsi="宋体"/>
                <w:color w:val="000000"/>
                <w:sz w:val="24"/>
                <w:highlight w:val="none"/>
              </w:rPr>
            </w:r>
            <w:r/>
          </w:p>
        </w:tc>
        <w:tc>
          <w:tcPr>
            <w:tcW w:w="6396" w:type="dxa"/>
            <w:vAlign w:val="center"/>
            <w:textDirection w:val="lrTb"/>
            <w:noWrap w:val="false"/>
          </w:tcPr>
          <w:p>
            <w:pPr>
              <w:pStyle w:val="1068"/>
              <w:rPr>
                <w:rFonts w:hint="eastAsia" w:ascii="宋体" w:hAnsi="宋体"/>
                <w:color w:val="000000"/>
                <w:sz w:val="24"/>
                <w:highlight w:val="none"/>
              </w:rPr>
            </w:pPr>
            <w:r>
              <w:rPr>
                <w:rFonts w:hint="eastAsia" w:ascii="宋体" w:hAnsi="宋体"/>
                <w:color w:val="000000"/>
                <w:sz w:val="24"/>
                <w:highlight w:val="none"/>
              </w:rPr>
              <w:t xml:space="preserve">根据投标人针对本项目制定的项目实施方案（包括但不限于检测方法及方案等）的合理性综合评定，方案重点明确、计划清晰的得1</w:t>
            </w:r>
            <w:r>
              <w:rPr>
                <w:rFonts w:ascii="宋体" w:hAnsi="宋体"/>
                <w:color w:val="000000"/>
                <w:sz w:val="24"/>
                <w:highlight w:val="none"/>
              </w:rPr>
              <w:t xml:space="preserve">0</w:t>
            </w:r>
            <w:r>
              <w:rPr>
                <w:rFonts w:hint="eastAsia" w:ascii="宋体" w:hAnsi="宋体"/>
                <w:color w:val="000000"/>
                <w:sz w:val="24"/>
                <w:highlight w:val="none"/>
              </w:rPr>
              <w:t xml:space="preserve">分；方案重点较明确、计划较清晰的得</w:t>
            </w:r>
            <w:r>
              <w:rPr>
                <w:rFonts w:ascii="宋体" w:hAnsi="宋体"/>
                <w:color w:val="000000"/>
                <w:sz w:val="24"/>
                <w:highlight w:val="none"/>
              </w:rPr>
              <w:t xml:space="preserve">8</w:t>
            </w:r>
            <w:r>
              <w:rPr>
                <w:rFonts w:hint="eastAsia" w:ascii="宋体" w:hAnsi="宋体"/>
                <w:color w:val="000000"/>
                <w:sz w:val="24"/>
                <w:highlight w:val="none"/>
              </w:rPr>
              <w:t xml:space="preserve">分；方案重点基本满足采购需求的得6分；方案重点描述一般的得4分；方案重点不甚明确、计划不甚清晰的得</w:t>
            </w:r>
            <w:r>
              <w:rPr>
                <w:rFonts w:ascii="宋体" w:hAnsi="宋体"/>
                <w:color w:val="000000"/>
                <w:sz w:val="24"/>
                <w:highlight w:val="none"/>
              </w:rPr>
              <w:t xml:space="preserve">2</w:t>
            </w:r>
            <w:r>
              <w:rPr>
                <w:rFonts w:hint="eastAsia" w:ascii="宋体" w:hAnsi="宋体"/>
                <w:color w:val="000000"/>
                <w:sz w:val="24"/>
                <w:highlight w:val="none"/>
              </w:rPr>
              <w:t xml:space="preserve">分；未提提供不得分。</w:t>
            </w:r>
            <w:r>
              <w:rPr>
                <w:rFonts w:hint="eastAsia" w:ascii="宋体" w:hAnsi="宋体"/>
                <w:color w:val="000000"/>
                <w:sz w:val="24"/>
                <w:highlight w:val="none"/>
              </w:rPr>
            </w:r>
            <w:r/>
          </w:p>
        </w:tc>
      </w:tr>
      <w:tr>
        <w:trPr/>
        <w:tc>
          <w:tcPr>
            <w:tcW w:w="835" w:type="dxa"/>
            <w:vAlign w:val="center"/>
            <w:textDirection w:val="lrTb"/>
            <w:noWrap w:val="false"/>
          </w:tcPr>
          <w:p>
            <w:pPr>
              <w:pStyle w:val="1068"/>
              <w:ind w:firstLine="28"/>
              <w:jc w:val="center"/>
              <w:rPr>
                <w:rFonts w:ascii="宋体" w:hAnsi="宋体"/>
                <w:color w:val="000000"/>
                <w:sz w:val="24"/>
                <w:highlight w:val="none"/>
              </w:rPr>
            </w:pPr>
            <w:r>
              <w:rPr>
                <w:rFonts w:ascii="宋体" w:hAnsi="宋体"/>
                <w:color w:val="000000"/>
                <w:sz w:val="24"/>
                <w:highlight w:val="none"/>
              </w:rPr>
              <w:t xml:space="preserve">2.3</w:t>
            </w:r>
            <w:r>
              <w:rPr>
                <w:rFonts w:ascii="宋体" w:hAnsi="宋体"/>
                <w:color w:val="000000"/>
                <w:sz w:val="24"/>
                <w:highlight w:val="none"/>
              </w:rPr>
            </w:r>
            <w:r/>
          </w:p>
        </w:tc>
        <w:tc>
          <w:tcPr>
            <w:tcW w:w="1462" w:type="dxa"/>
            <w:vAlign w:val="center"/>
            <w:textDirection w:val="lrTb"/>
            <w:noWrap w:val="false"/>
          </w:tcPr>
          <w:p>
            <w:pPr>
              <w:pStyle w:val="1068"/>
              <w:ind w:firstLine="28"/>
              <w:jc w:val="center"/>
              <w:rPr>
                <w:rFonts w:ascii="宋体" w:hAnsi="宋体"/>
                <w:color w:val="000000"/>
                <w:sz w:val="24"/>
                <w:highlight w:val="none"/>
              </w:rPr>
            </w:pPr>
            <w:r>
              <w:rPr>
                <w:rFonts w:hint="eastAsia" w:ascii="宋体" w:hAnsi="宋体"/>
                <w:color w:val="000000"/>
                <w:sz w:val="24"/>
                <w:highlight w:val="none"/>
              </w:rPr>
              <w:t xml:space="preserve">项目进度计划</w:t>
            </w:r>
            <w:r>
              <w:rPr>
                <w:rFonts w:ascii="宋体" w:hAnsi="宋体"/>
                <w:color w:val="000000"/>
                <w:sz w:val="24"/>
                <w:highlight w:val="none"/>
              </w:rPr>
            </w:r>
            <w:r/>
          </w:p>
        </w:tc>
        <w:tc>
          <w:tcPr>
            <w:tcW w:w="913" w:type="dxa"/>
            <w:vAlign w:val="center"/>
            <w:textDirection w:val="lrTb"/>
            <w:noWrap w:val="false"/>
          </w:tcPr>
          <w:p>
            <w:pPr>
              <w:pStyle w:val="1068"/>
              <w:ind w:firstLine="28"/>
              <w:jc w:val="center"/>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rPr>
                <w:rFonts w:ascii="宋体" w:hAnsi="宋体"/>
                <w:color w:val="000000"/>
                <w:sz w:val="24"/>
                <w:highlight w:val="none"/>
              </w:rPr>
            </w:r>
            <w:r/>
          </w:p>
        </w:tc>
        <w:tc>
          <w:tcPr>
            <w:tcW w:w="6396" w:type="dxa"/>
            <w:vAlign w:val="center"/>
            <w:textDirection w:val="lrTb"/>
            <w:noWrap w:val="false"/>
          </w:tcPr>
          <w:p>
            <w:pPr>
              <w:pStyle w:val="1068"/>
              <w:rPr>
                <w:rFonts w:ascii="宋体" w:hAnsi="宋体"/>
                <w:color w:val="000000"/>
                <w:sz w:val="24"/>
                <w:highlight w:val="none"/>
              </w:rPr>
            </w:pPr>
            <w:r>
              <w:rPr>
                <w:rFonts w:hint="eastAsia" w:ascii="宋体" w:hAnsi="宋体"/>
                <w:color w:val="000000"/>
                <w:sz w:val="24"/>
                <w:highlight w:val="none"/>
              </w:rPr>
              <w:t xml:space="preserve">根据投标人针对本项目制定的项目进度计划（包括但不限于总进度计划、项目进度保证措施等）综合评定；计划及措施先进、可行、规范、周密的得1</w:t>
            </w:r>
            <w:r>
              <w:rPr>
                <w:rFonts w:ascii="宋体" w:hAnsi="宋体"/>
                <w:color w:val="000000"/>
                <w:sz w:val="24"/>
                <w:highlight w:val="none"/>
              </w:rPr>
              <w:t xml:space="preserve">0</w:t>
            </w:r>
            <w:r>
              <w:rPr>
                <w:rFonts w:hint="eastAsia" w:ascii="宋体" w:hAnsi="宋体"/>
                <w:color w:val="000000"/>
                <w:sz w:val="24"/>
                <w:highlight w:val="none"/>
              </w:rPr>
              <w:t xml:space="preserve">分；计划及措施较先进、较可行、较规范、较周密的得</w:t>
            </w:r>
            <w:r>
              <w:rPr>
                <w:rFonts w:ascii="宋体" w:hAnsi="宋体"/>
                <w:color w:val="000000"/>
                <w:sz w:val="24"/>
                <w:highlight w:val="none"/>
              </w:rPr>
              <w:t xml:space="preserve">8</w:t>
            </w:r>
            <w:r>
              <w:rPr>
                <w:rFonts w:hint="eastAsia" w:ascii="宋体" w:hAnsi="宋体"/>
                <w:color w:val="000000"/>
                <w:sz w:val="24"/>
                <w:highlight w:val="none"/>
              </w:rPr>
              <w:t xml:space="preserve">分；计划及措施基本满足采购需求的得6分；计划及措施不甚先进、可行性一般、规范性一般、周密性一般得</w:t>
            </w:r>
            <w:r>
              <w:rPr>
                <w:rFonts w:ascii="宋体" w:hAnsi="宋体"/>
                <w:color w:val="000000"/>
                <w:sz w:val="24"/>
                <w:highlight w:val="none"/>
              </w:rPr>
              <w:t xml:space="preserve">4</w:t>
            </w:r>
            <w:r>
              <w:rPr>
                <w:rFonts w:hint="eastAsia" w:ascii="宋体" w:hAnsi="宋体"/>
                <w:color w:val="000000"/>
                <w:sz w:val="24"/>
                <w:highlight w:val="none"/>
              </w:rPr>
              <w:t xml:space="preserve">分；计划及措施不甚清晰的得2分；未提提供不得分。</w:t>
            </w:r>
            <w:r>
              <w:rPr>
                <w:rFonts w:ascii="宋体" w:hAnsi="宋体"/>
                <w:color w:val="000000"/>
                <w:sz w:val="24"/>
                <w:highlight w:val="none"/>
              </w:rPr>
            </w:r>
            <w:r/>
          </w:p>
        </w:tc>
      </w:tr>
      <w:tr>
        <w:trPr/>
        <w:tc>
          <w:tcPr>
            <w:tcW w:w="835" w:type="dxa"/>
            <w:vAlign w:val="center"/>
            <w:textDirection w:val="lrTb"/>
            <w:noWrap w:val="false"/>
          </w:tcPr>
          <w:p>
            <w:pPr>
              <w:pStyle w:val="1068"/>
              <w:ind w:firstLine="28"/>
              <w:jc w:val="center"/>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.4</w:t>
            </w:r>
            <w:r>
              <w:rPr>
                <w:rFonts w:ascii="宋体" w:hAnsi="宋体"/>
                <w:color w:val="000000"/>
                <w:sz w:val="24"/>
                <w:highlight w:val="none"/>
              </w:rPr>
            </w:r>
            <w:r/>
          </w:p>
        </w:tc>
        <w:tc>
          <w:tcPr>
            <w:tcW w:w="1462" w:type="dxa"/>
            <w:vAlign w:val="center"/>
            <w:textDirection w:val="lrTb"/>
            <w:noWrap w:val="false"/>
          </w:tcPr>
          <w:p>
            <w:pPr>
              <w:pStyle w:val="1068"/>
              <w:ind w:firstLine="28"/>
              <w:jc w:val="center"/>
              <w:rPr>
                <w:rFonts w:ascii="宋体" w:hAnsi="宋体"/>
                <w:color w:val="000000"/>
                <w:sz w:val="24"/>
                <w:highlight w:val="none"/>
              </w:rPr>
            </w:pPr>
            <w:r>
              <w:rPr>
                <w:rFonts w:hint="eastAsia" w:ascii="宋体" w:hAnsi="宋体"/>
                <w:color w:val="000000"/>
                <w:sz w:val="24"/>
                <w:highlight w:val="none"/>
              </w:rPr>
              <w:t xml:space="preserve">质量保证措施</w:t>
            </w:r>
            <w:r>
              <w:rPr>
                <w:rFonts w:ascii="宋体" w:hAnsi="宋体"/>
                <w:color w:val="000000"/>
                <w:sz w:val="24"/>
                <w:highlight w:val="none"/>
              </w:rPr>
            </w:r>
            <w:r/>
          </w:p>
        </w:tc>
        <w:tc>
          <w:tcPr>
            <w:tcW w:w="913" w:type="dxa"/>
            <w:vAlign w:val="center"/>
            <w:textDirection w:val="lrTb"/>
            <w:noWrap w:val="false"/>
          </w:tcPr>
          <w:p>
            <w:pPr>
              <w:pStyle w:val="1068"/>
              <w:ind w:firstLine="28"/>
              <w:jc w:val="center"/>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rPr>
                <w:rFonts w:ascii="宋体" w:hAnsi="宋体"/>
                <w:color w:val="000000"/>
                <w:sz w:val="24"/>
                <w:highlight w:val="none"/>
              </w:rPr>
            </w:r>
            <w:r/>
          </w:p>
        </w:tc>
        <w:tc>
          <w:tcPr>
            <w:tcW w:w="6396" w:type="dxa"/>
            <w:vAlign w:val="center"/>
            <w:textDirection w:val="lrTb"/>
            <w:noWrap w:val="false"/>
          </w:tcPr>
          <w:p>
            <w:pPr>
              <w:pStyle w:val="1068"/>
              <w:rPr>
                <w:rFonts w:ascii="宋体" w:hAnsi="宋体"/>
                <w:color w:val="000000"/>
                <w:sz w:val="24"/>
                <w:highlight w:val="none"/>
              </w:rPr>
            </w:pPr>
            <w:r>
              <w:rPr>
                <w:rFonts w:hint="eastAsia" w:ascii="宋体" w:hAnsi="宋体"/>
                <w:color w:val="000000"/>
                <w:sz w:val="24"/>
                <w:highlight w:val="none"/>
              </w:rPr>
              <w:t xml:space="preserve">根据投标人针对本项目制定的质量保证措施（包括但不限于质量控制方案、检测报告编制工作质量控制方案等）综合评定；质量控制理解深刻，分析全面，针对性强、可操作性强的得</w:t>
            </w:r>
            <w:r>
              <w:rPr>
                <w:rFonts w:ascii="宋体" w:hAnsi="宋体"/>
                <w:color w:val="000000"/>
                <w:sz w:val="24"/>
                <w:highlight w:val="none"/>
              </w:rPr>
              <w:t xml:space="preserve">10</w:t>
            </w:r>
            <w:r>
              <w:rPr>
                <w:rFonts w:hint="eastAsia" w:ascii="宋体" w:hAnsi="宋体"/>
                <w:color w:val="000000"/>
                <w:sz w:val="24"/>
                <w:highlight w:val="none"/>
              </w:rPr>
              <w:t xml:space="preserve">分；质量控制理解较深刻，针对性较强的得8分；质量控制基本满足采购需求的得6分；质量控制理解不深刻，分析较全面，针对性较一般的得</w:t>
            </w:r>
            <w:r>
              <w:rPr>
                <w:rFonts w:ascii="宋体" w:hAnsi="宋体"/>
                <w:color w:val="000000"/>
                <w:sz w:val="24"/>
                <w:highlight w:val="none"/>
              </w:rPr>
              <w:t xml:space="preserve">4</w:t>
            </w:r>
            <w:r>
              <w:rPr>
                <w:rFonts w:hint="eastAsia" w:ascii="宋体" w:hAnsi="宋体"/>
                <w:color w:val="000000"/>
                <w:sz w:val="24"/>
                <w:highlight w:val="none"/>
              </w:rPr>
              <w:t xml:space="preserve">分；质量控制理解不符合实际，分析不全面，针对性较低的得2分；未提提供不得分。</w:t>
            </w:r>
            <w:r>
              <w:rPr>
                <w:rFonts w:ascii="宋体" w:hAnsi="宋体"/>
                <w:color w:val="000000"/>
                <w:sz w:val="24"/>
                <w:highlight w:val="none"/>
              </w:rPr>
            </w:r>
            <w:r/>
          </w:p>
        </w:tc>
      </w:tr>
      <w:tr>
        <w:trPr/>
        <w:tc>
          <w:tcPr>
            <w:tcW w:w="835" w:type="dxa"/>
            <w:vAlign w:val="center"/>
            <w:textDirection w:val="lrTb"/>
            <w:noWrap w:val="false"/>
          </w:tcPr>
          <w:p>
            <w:pPr>
              <w:pStyle w:val="1068"/>
              <w:ind w:firstLine="28"/>
              <w:jc w:val="center"/>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r>
            <w:r/>
          </w:p>
        </w:tc>
        <w:tc>
          <w:tcPr>
            <w:tcW w:w="1462" w:type="dxa"/>
            <w:vAlign w:val="center"/>
            <w:textDirection w:val="lrTb"/>
            <w:noWrap w:val="false"/>
          </w:tcPr>
          <w:p>
            <w:pPr>
              <w:pStyle w:val="1068"/>
              <w:ind w:firstLine="28"/>
              <w:jc w:val="center"/>
              <w:rPr>
                <w:rFonts w:hint="eastAsia" w:ascii="宋体" w:hAnsi="宋体"/>
                <w:color w:val="000000"/>
                <w:sz w:val="24"/>
                <w:highlight w:val="none"/>
              </w:rPr>
            </w:pPr>
            <w:r>
              <w:rPr>
                <w:rFonts w:hint="eastAsia" w:ascii="宋体" w:hAnsi="宋体"/>
                <w:color w:val="000000"/>
                <w:sz w:val="24"/>
                <w:highlight w:val="none"/>
              </w:rPr>
              <w:t xml:space="preserve">安全及保密措施</w:t>
            </w:r>
            <w:r>
              <w:rPr>
                <w:rFonts w:hint="eastAsia" w:ascii="宋体" w:hAnsi="宋体"/>
                <w:color w:val="000000"/>
                <w:sz w:val="24"/>
                <w:highlight w:val="none"/>
              </w:rPr>
            </w:r>
            <w:r/>
          </w:p>
        </w:tc>
        <w:tc>
          <w:tcPr>
            <w:tcW w:w="913" w:type="dxa"/>
            <w:vAlign w:val="center"/>
            <w:textDirection w:val="lrTb"/>
            <w:noWrap w:val="false"/>
          </w:tcPr>
          <w:p>
            <w:pPr>
              <w:pStyle w:val="1068"/>
              <w:ind w:firstLine="28"/>
              <w:jc w:val="center"/>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6396" w:type="dxa"/>
            <w:vAlign w:val="top"/>
            <w:textDirection w:val="lrTb"/>
            <w:noWrap w:val="false"/>
          </w:tcPr>
          <w:p>
            <w:pPr>
              <w:pStyle w:val="1068"/>
              <w:rPr>
                <w:rFonts w:hint="eastAsia" w:ascii="宋体" w:hAnsi="宋体"/>
                <w:color w:val="000000"/>
                <w:sz w:val="24"/>
                <w:highlight w:val="none"/>
              </w:rPr>
            </w:pPr>
            <w:r>
              <w:rPr>
                <w:rFonts w:hint="eastAsia" w:ascii="宋体" w:hAnsi="宋体"/>
                <w:color w:val="000000"/>
                <w:sz w:val="24"/>
                <w:highlight w:val="none"/>
              </w:rPr>
              <w:t xml:space="preserve">根据投标人提供的安全及保密措施（包括但不限于安全生产措施、数据保密措施方案等）进行评审：</w:t>
            </w:r>
            <w:r>
              <w:rPr>
                <w:rFonts w:hint="eastAsia" w:ascii="宋体" w:hAnsi="宋体"/>
                <w:color w:val="000000"/>
                <w:sz w:val="24"/>
                <w:highlight w:val="none"/>
              </w:rPr>
            </w:r>
            <w:r/>
          </w:p>
          <w:p>
            <w:pPr>
              <w:pStyle w:val="1068"/>
              <w:rPr>
                <w:rFonts w:hint="eastAsia" w:ascii="宋体" w:hAnsi="宋体"/>
                <w:color w:val="000000"/>
                <w:sz w:val="24"/>
                <w:highlight w:val="none"/>
              </w:rPr>
            </w:pPr>
            <w:r>
              <w:rPr>
                <w:rFonts w:hint="eastAsia" w:ascii="宋体" w:hAnsi="宋体"/>
                <w:color w:val="000000"/>
                <w:sz w:val="24"/>
                <w:highlight w:val="none"/>
              </w:rPr>
              <w:t xml:space="preserve">方案及措施科学、针对性强，完全满足采购需求的得8分；</w:t>
            </w:r>
            <w:r>
              <w:rPr>
                <w:rFonts w:hint="eastAsia" w:ascii="宋体" w:hAnsi="宋体"/>
                <w:color w:val="000000"/>
                <w:sz w:val="24"/>
                <w:highlight w:val="none"/>
              </w:rPr>
            </w:r>
            <w:r/>
          </w:p>
          <w:p>
            <w:pPr>
              <w:pStyle w:val="1068"/>
              <w:rPr>
                <w:rFonts w:hint="eastAsia" w:ascii="宋体" w:hAnsi="宋体"/>
                <w:color w:val="000000"/>
                <w:sz w:val="24"/>
                <w:highlight w:val="none"/>
              </w:rPr>
            </w:pPr>
            <w:r>
              <w:rPr>
                <w:rFonts w:hint="eastAsia" w:ascii="宋体" w:hAnsi="宋体"/>
                <w:color w:val="000000"/>
                <w:sz w:val="24"/>
                <w:highlight w:val="none"/>
              </w:rPr>
              <w:t xml:space="preserve">方案及措施较科学、针对性一般，基本满足采购需求的得5分；</w:t>
            </w:r>
            <w:r>
              <w:rPr>
                <w:rFonts w:hint="eastAsia" w:ascii="宋体" w:hAnsi="宋体"/>
                <w:color w:val="000000"/>
                <w:sz w:val="24"/>
                <w:highlight w:val="none"/>
              </w:rPr>
            </w:r>
            <w:r/>
          </w:p>
          <w:p>
            <w:pPr>
              <w:pStyle w:val="1068"/>
              <w:rPr>
                <w:rFonts w:hint="eastAsia" w:ascii="宋体" w:hAnsi="宋体"/>
                <w:color w:val="000000"/>
                <w:sz w:val="24"/>
                <w:highlight w:val="none"/>
              </w:rPr>
            </w:pPr>
            <w:r>
              <w:rPr>
                <w:rFonts w:hint="eastAsia" w:ascii="宋体" w:hAnsi="宋体"/>
                <w:color w:val="000000"/>
                <w:sz w:val="24"/>
                <w:highlight w:val="none"/>
              </w:rPr>
              <w:t xml:space="preserve">方案及措施不科学、针对性差的得2分；</w:t>
            </w:r>
            <w:r>
              <w:rPr>
                <w:rFonts w:hint="eastAsia" w:ascii="宋体" w:hAnsi="宋体"/>
                <w:color w:val="000000"/>
                <w:sz w:val="24"/>
                <w:highlight w:val="none"/>
              </w:rPr>
            </w:r>
            <w:r/>
          </w:p>
          <w:p>
            <w:pPr>
              <w:pStyle w:val="1068"/>
              <w:rPr>
                <w:rFonts w:hint="eastAsia" w:ascii="宋体" w:hAnsi="宋体"/>
                <w:color w:val="000000"/>
                <w:sz w:val="24"/>
                <w:highlight w:val="none"/>
              </w:rPr>
            </w:pPr>
            <w:r>
              <w:rPr>
                <w:rFonts w:hint="eastAsia" w:ascii="宋体" w:hAnsi="宋体"/>
                <w:color w:val="000000"/>
                <w:sz w:val="24"/>
                <w:highlight w:val="none"/>
              </w:rPr>
              <w:t xml:space="preserve">未提供不得分。</w:t>
            </w:r>
            <w:r>
              <w:rPr>
                <w:rFonts w:hint="eastAsia" w:ascii="宋体" w:hAnsi="宋体"/>
                <w:color w:val="000000"/>
                <w:sz w:val="24"/>
                <w:highlight w:val="none"/>
              </w:rPr>
            </w:r>
            <w:r/>
          </w:p>
        </w:tc>
      </w:tr>
      <w:tr>
        <w:trPr/>
        <w:tc>
          <w:tcPr>
            <w:tcW w:w="835" w:type="dxa"/>
            <w:vAlign w:val="center"/>
            <w:textDirection w:val="lrTb"/>
            <w:noWrap w:val="false"/>
          </w:tcPr>
          <w:p>
            <w:pPr>
              <w:pStyle w:val="1068"/>
              <w:ind w:firstLine="28"/>
              <w:jc w:val="center"/>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.6</w:t>
            </w:r>
            <w:r>
              <w:rPr>
                <w:rFonts w:hint="eastAsia" w:ascii="宋体" w:hAnsi="宋体"/>
                <w:color w:val="000000"/>
                <w:sz w:val="24"/>
                <w:highlight w:val="none"/>
              </w:rPr>
            </w:r>
            <w:r/>
          </w:p>
        </w:tc>
        <w:tc>
          <w:tcPr>
            <w:tcW w:w="1462" w:type="dxa"/>
            <w:vAlign w:val="center"/>
            <w:textDirection w:val="lrTb"/>
            <w:noWrap w:val="false"/>
          </w:tcPr>
          <w:p>
            <w:pPr>
              <w:pStyle w:val="1068"/>
              <w:ind w:firstLine="28"/>
              <w:jc w:val="center"/>
              <w:rPr>
                <w:rFonts w:hint="eastAsia" w:ascii="宋体" w:hAnsi="宋体"/>
                <w:color w:val="000000"/>
                <w:sz w:val="24"/>
                <w:highlight w:val="none"/>
              </w:rPr>
            </w:pPr>
            <w:r>
              <w:rPr>
                <w:rFonts w:hint="eastAsia" w:ascii="宋体" w:hAnsi="宋体"/>
                <w:color w:val="000000"/>
                <w:sz w:val="24"/>
                <w:highlight w:val="none"/>
              </w:rPr>
              <w:t xml:space="preserve">后续服务方案</w:t>
            </w:r>
            <w:r>
              <w:rPr>
                <w:rFonts w:hint="eastAsia" w:ascii="宋体" w:hAnsi="宋体"/>
                <w:color w:val="000000"/>
                <w:sz w:val="24"/>
                <w:highlight w:val="none"/>
              </w:rPr>
            </w:r>
            <w:r/>
          </w:p>
        </w:tc>
        <w:tc>
          <w:tcPr>
            <w:tcW w:w="913" w:type="dxa"/>
            <w:vAlign w:val="center"/>
            <w:textDirection w:val="lrTb"/>
            <w:noWrap w:val="false"/>
          </w:tcPr>
          <w:p>
            <w:pPr>
              <w:pStyle w:val="1068"/>
              <w:ind w:firstLine="28"/>
              <w:jc w:val="center"/>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6396" w:type="dxa"/>
            <w:vAlign w:val="top"/>
            <w:textDirection w:val="lrTb"/>
            <w:noWrap w:val="false"/>
          </w:tcPr>
          <w:p>
            <w:pPr>
              <w:pStyle w:val="1068"/>
              <w:rPr>
                <w:rFonts w:hint="eastAsia" w:ascii="宋体" w:hAnsi="宋体"/>
                <w:color w:val="000000"/>
                <w:sz w:val="24"/>
                <w:highlight w:val="none"/>
              </w:rPr>
            </w:pPr>
            <w:r>
              <w:rPr>
                <w:rFonts w:hint="eastAsia" w:ascii="宋体" w:hAnsi="宋体"/>
                <w:color w:val="000000"/>
                <w:sz w:val="24"/>
                <w:highlight w:val="none"/>
              </w:rPr>
              <w:t xml:space="preserve">根据投标人提供的后续服务方案（包括后续服务承诺、服务内容、响应时间、响应方式等内容）进行评审：</w:t>
            </w:r>
            <w:r>
              <w:rPr>
                <w:rFonts w:hint="eastAsia" w:ascii="宋体" w:hAnsi="宋体"/>
                <w:color w:val="000000"/>
                <w:sz w:val="24"/>
                <w:highlight w:val="none"/>
              </w:rPr>
            </w:r>
            <w:r/>
          </w:p>
          <w:p>
            <w:pPr>
              <w:pStyle w:val="1068"/>
              <w:rPr>
                <w:rFonts w:hint="eastAsia" w:ascii="宋体" w:hAnsi="宋体"/>
                <w:color w:val="000000"/>
                <w:sz w:val="24"/>
                <w:highlight w:val="none"/>
              </w:rPr>
            </w:pPr>
            <w:r>
              <w:rPr>
                <w:rFonts w:hint="eastAsia" w:ascii="宋体" w:hAnsi="宋体"/>
                <w:color w:val="000000"/>
                <w:sz w:val="24"/>
                <w:highlight w:val="none"/>
              </w:rPr>
              <w:t xml:space="preserve">后续服务方案措施详实、措施有效、操作性强的得7分；</w:t>
            </w:r>
            <w:r>
              <w:rPr>
                <w:rFonts w:hint="eastAsia" w:ascii="宋体" w:hAnsi="宋体"/>
                <w:color w:val="000000"/>
                <w:sz w:val="24"/>
                <w:highlight w:val="none"/>
              </w:rPr>
            </w:r>
            <w:r/>
          </w:p>
          <w:p>
            <w:pPr>
              <w:pStyle w:val="1068"/>
              <w:rPr>
                <w:rFonts w:hint="eastAsia" w:ascii="宋体" w:hAnsi="宋体"/>
                <w:color w:val="000000"/>
                <w:sz w:val="24"/>
                <w:highlight w:val="none"/>
              </w:rPr>
            </w:pPr>
            <w:r>
              <w:rPr>
                <w:rFonts w:hint="eastAsia" w:ascii="宋体" w:hAnsi="宋体"/>
                <w:color w:val="000000"/>
                <w:sz w:val="24"/>
                <w:highlight w:val="none"/>
              </w:rPr>
              <w:t xml:space="preserve">后续服务方案措施较详实、措施较有效、具有可操作性的得5分；</w:t>
            </w:r>
            <w:r>
              <w:rPr>
                <w:rFonts w:hint="eastAsia" w:ascii="宋体" w:hAnsi="宋体"/>
                <w:color w:val="000000"/>
                <w:sz w:val="24"/>
                <w:highlight w:val="none"/>
              </w:rPr>
            </w:r>
            <w:r/>
          </w:p>
          <w:p>
            <w:pPr>
              <w:pStyle w:val="1068"/>
              <w:rPr>
                <w:rFonts w:ascii="宋体" w:hAnsi="宋体"/>
                <w:color w:val="000000"/>
                <w:sz w:val="24"/>
                <w:highlight w:val="none"/>
              </w:rPr>
            </w:pPr>
            <w:r>
              <w:rPr>
                <w:rFonts w:hint="eastAsia" w:ascii="宋体" w:hAnsi="宋体"/>
                <w:color w:val="000000"/>
                <w:sz w:val="24"/>
                <w:highlight w:val="none"/>
              </w:rPr>
              <w:t xml:space="preserve">后续服务方案措施安排一般的得2分；</w:t>
            </w:r>
            <w:r>
              <w:rPr>
                <w:rFonts w:ascii="宋体" w:hAnsi="宋体"/>
                <w:color w:val="000000"/>
                <w:sz w:val="24"/>
                <w:highlight w:val="none"/>
              </w:rPr>
            </w:r>
            <w:r/>
          </w:p>
          <w:p>
            <w:pPr>
              <w:pStyle w:val="1068"/>
              <w:rPr>
                <w:rFonts w:hint="eastAsia" w:ascii="宋体" w:hAnsi="宋体"/>
                <w:color w:val="000000"/>
                <w:sz w:val="24"/>
                <w:highlight w:val="none"/>
              </w:rPr>
            </w:pPr>
            <w:r>
              <w:rPr>
                <w:rFonts w:hint="eastAsia" w:ascii="宋体" w:hAnsi="宋体"/>
                <w:color w:val="000000"/>
                <w:sz w:val="24"/>
                <w:highlight w:val="none"/>
              </w:rPr>
              <w:t xml:space="preserve">未提供不得分。</w:t>
            </w:r>
            <w:r>
              <w:rPr>
                <w:rFonts w:hint="eastAsia" w:ascii="宋体" w:hAnsi="宋体"/>
                <w:color w:val="000000"/>
                <w:sz w:val="24"/>
                <w:highlight w:val="none"/>
              </w:rPr>
            </w:r>
            <w:r/>
          </w:p>
        </w:tc>
      </w:tr>
      <w:tr>
        <w:trPr/>
        <w:tc>
          <w:tcPr>
            <w:tcW w:w="835" w:type="dxa"/>
            <w:vAlign w:val="center"/>
            <w:textDirection w:val="lrTb"/>
            <w:noWrap w:val="false"/>
          </w:tcPr>
          <w:p>
            <w:pPr>
              <w:pStyle w:val="1068"/>
              <w:ind w:firstLine="28"/>
              <w:jc w:val="center"/>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462" w:type="dxa"/>
            <w:vAlign w:val="center"/>
            <w:textDirection w:val="lrTb"/>
            <w:noWrap w:val="false"/>
          </w:tcPr>
          <w:p>
            <w:pPr>
              <w:pStyle w:val="1068"/>
              <w:ind w:firstLine="28"/>
              <w:jc w:val="center"/>
              <w:rPr>
                <w:rFonts w:ascii="宋体" w:hAnsi="宋体"/>
                <w:color w:val="000000"/>
                <w:sz w:val="24"/>
                <w:highlight w:val="none"/>
              </w:rPr>
            </w:pPr>
            <w:r>
              <w:rPr>
                <w:rFonts w:hint="eastAsia" w:ascii="宋体" w:hAnsi="宋体"/>
                <w:color w:val="000000"/>
                <w:sz w:val="24"/>
                <w:highlight w:val="none"/>
              </w:rPr>
              <w:t xml:space="preserve">客观分</w:t>
            </w:r>
            <w:r>
              <w:rPr>
                <w:rFonts w:ascii="宋体" w:hAnsi="宋体"/>
                <w:color w:val="000000"/>
                <w:sz w:val="24"/>
                <w:highlight w:val="none"/>
              </w:rPr>
            </w:r>
            <w:r/>
          </w:p>
        </w:tc>
        <w:tc>
          <w:tcPr>
            <w:tcW w:w="913" w:type="dxa"/>
            <w:vAlign w:val="center"/>
            <w:textDirection w:val="lrTb"/>
            <w:noWrap w:val="false"/>
          </w:tcPr>
          <w:p>
            <w:pPr>
              <w:pStyle w:val="1068"/>
              <w:ind w:firstLine="28"/>
              <w:jc w:val="center"/>
              <w:rPr>
                <w:rFonts w:ascii="宋体" w:hAnsi="宋体"/>
                <w:color w:val="000000"/>
                <w:sz w:val="24"/>
                <w:highlight w:val="none"/>
              </w:rPr>
            </w:pPr>
            <w:r>
              <w:rPr>
                <w:rFonts w:hint="eastAsia" w:ascii="宋体" w:hAnsi="宋体"/>
                <w:color w:val="000000"/>
                <w:sz w:val="24"/>
                <w:highlight w:val="none"/>
              </w:rPr>
              <w:t xml:space="preserve">30</w:t>
            </w:r>
            <w:r>
              <w:rPr>
                <w:rFonts w:ascii="宋体" w:hAnsi="宋体"/>
                <w:color w:val="000000"/>
                <w:sz w:val="24"/>
                <w:highlight w:val="none"/>
              </w:rPr>
            </w:r>
            <w:r/>
          </w:p>
        </w:tc>
        <w:tc>
          <w:tcPr>
            <w:tcW w:w="6396" w:type="dxa"/>
            <w:vAlign w:val="center"/>
            <w:textDirection w:val="lrTb"/>
            <w:noWrap w:val="false"/>
          </w:tcPr>
          <w:p>
            <w:pPr>
              <w:pStyle w:val="1068"/>
              <w:rPr>
                <w:rFonts w:ascii="宋体" w:hAnsi="宋体"/>
                <w:color w:val="000000"/>
                <w:sz w:val="24"/>
                <w:highlight w:val="none"/>
              </w:rPr>
            </w:pPr>
            <w:r>
              <w:rPr>
                <w:rFonts w:ascii="宋体" w:hAnsi="宋体"/>
                <w:color w:val="000000"/>
                <w:sz w:val="24"/>
                <w:highlight w:val="none"/>
              </w:rPr>
            </w:r>
            <w:r/>
          </w:p>
        </w:tc>
      </w:tr>
      <w:tr>
        <w:trPr/>
        <w:tc>
          <w:tcPr>
            <w:tcW w:w="835" w:type="dxa"/>
            <w:vAlign w:val="center"/>
            <w:textDirection w:val="lrTb"/>
            <w:noWrap w:val="false"/>
          </w:tcPr>
          <w:p>
            <w:pPr>
              <w:pStyle w:val="1068"/>
              <w:ind w:firstLine="28"/>
              <w:jc w:val="center"/>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r>
            <w:r/>
          </w:p>
        </w:tc>
        <w:tc>
          <w:tcPr>
            <w:tcW w:w="1462" w:type="dxa"/>
            <w:vAlign w:val="center"/>
            <w:textDirection w:val="lrTb"/>
            <w:noWrap w:val="false"/>
          </w:tcPr>
          <w:p>
            <w:pPr>
              <w:pStyle w:val="1068"/>
              <w:ind w:firstLine="28"/>
              <w:jc w:val="center"/>
              <w:rPr>
                <w:rFonts w:hint="eastAsia" w:ascii="宋体" w:hAnsi="宋体"/>
                <w:color w:val="000000"/>
                <w:sz w:val="24"/>
                <w:highlight w:val="none"/>
              </w:rPr>
            </w:pPr>
            <w:r>
              <w:rPr>
                <w:rFonts w:hint="eastAsia" w:ascii="宋体" w:hAnsi="宋体"/>
                <w:color w:val="000000"/>
                <w:sz w:val="24"/>
                <w:highlight w:val="none"/>
              </w:rPr>
              <w:t xml:space="preserve">类似业绩</w:t>
            </w:r>
            <w:r>
              <w:rPr>
                <w:rFonts w:hint="eastAsia" w:ascii="宋体" w:hAnsi="宋体"/>
                <w:color w:val="000000"/>
                <w:sz w:val="24"/>
                <w:highlight w:val="none"/>
              </w:rPr>
            </w:r>
            <w:r/>
          </w:p>
        </w:tc>
        <w:tc>
          <w:tcPr>
            <w:tcW w:w="913" w:type="dxa"/>
            <w:vAlign w:val="center"/>
            <w:textDirection w:val="lrTb"/>
            <w:noWrap w:val="false"/>
          </w:tcPr>
          <w:p>
            <w:pPr>
              <w:pStyle w:val="1068"/>
              <w:ind w:firstLine="28"/>
              <w:jc w:val="center"/>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6396" w:type="dxa"/>
            <w:vAlign w:val="center"/>
            <w:textDirection w:val="lrTb"/>
            <w:noWrap w:val="false"/>
          </w:tcPr>
          <w:p>
            <w:pPr>
              <w:pStyle w:val="1068"/>
              <w:rPr>
                <w:rFonts w:hint="eastAsia" w:ascii="宋体" w:hAnsi="宋体"/>
                <w:color w:val="000000"/>
                <w:sz w:val="24"/>
                <w:highlight w:val="none"/>
              </w:rPr>
            </w:pPr>
            <w:r>
              <w:rPr>
                <w:rFonts w:hint="eastAsia" w:ascii="宋体" w:hAnsi="宋体"/>
                <w:color w:val="000000"/>
                <w:sz w:val="24"/>
                <w:highlight w:val="none"/>
              </w:rPr>
              <w:t xml:space="preserve">投标人近三年内（从投标截止时间起往前推算）承接类似业绩的，得5分。</w:t>
            </w:r>
            <w:r>
              <w:rPr>
                <w:rFonts w:hint="eastAsia" w:ascii="宋体" w:hAnsi="宋体"/>
                <w:color w:val="000000"/>
                <w:sz w:val="24"/>
                <w:highlight w:val="none"/>
              </w:rPr>
            </w:r>
            <w:r/>
          </w:p>
          <w:p>
            <w:pPr>
              <w:pStyle w:val="1068"/>
              <w:rPr>
                <w:rFonts w:ascii="宋体" w:hAnsi="宋体"/>
                <w:b/>
                <w:color w:val="000000"/>
                <w:sz w:val="24"/>
                <w:highlight w:val="none"/>
              </w:rPr>
            </w:pPr>
            <w:r>
              <w:rPr>
                <w:rFonts w:hint="eastAsia" w:ascii="宋体" w:hAnsi="宋体"/>
                <w:b/>
                <w:color w:val="000000"/>
                <w:sz w:val="24"/>
                <w:highlight w:val="none"/>
              </w:rPr>
              <w:t xml:space="preserve">注：时间以检测合同签订日期为准。如检测合同不能体现时间或时间不准确的，则须提供批文或其他有效证明材料，否则视为无效证明。</w:t>
            </w:r>
            <w:r>
              <w:rPr>
                <w:rFonts w:ascii="宋体" w:hAnsi="宋体"/>
                <w:b/>
                <w:color w:val="000000"/>
                <w:sz w:val="24"/>
                <w:highlight w:val="none"/>
              </w:rPr>
            </w:r>
            <w:r/>
          </w:p>
        </w:tc>
      </w:tr>
      <w:tr>
        <w:trPr/>
        <w:tc>
          <w:tcPr>
            <w:tcW w:w="835" w:type="dxa"/>
            <w:vAlign w:val="center"/>
            <w:textDirection w:val="lrTb"/>
            <w:noWrap w:val="false"/>
          </w:tcPr>
          <w:p>
            <w:pPr>
              <w:pStyle w:val="1068"/>
              <w:ind w:firstLine="28"/>
              <w:jc w:val="center"/>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2</w:t>
            </w:r>
            <w:r>
              <w:rPr>
                <w:rFonts w:ascii="宋体" w:hAnsi="宋体"/>
                <w:color w:val="000000"/>
                <w:sz w:val="24"/>
                <w:highlight w:val="none"/>
              </w:rPr>
            </w:r>
            <w:r/>
          </w:p>
        </w:tc>
        <w:tc>
          <w:tcPr>
            <w:tcW w:w="1462" w:type="dxa"/>
            <w:vAlign w:val="center"/>
            <w:textDirection w:val="lrTb"/>
            <w:noWrap w:val="false"/>
          </w:tcPr>
          <w:p>
            <w:pPr>
              <w:pStyle w:val="1068"/>
              <w:ind w:firstLine="28"/>
              <w:jc w:val="center"/>
              <w:rPr>
                <w:rFonts w:ascii="宋体" w:hAnsi="宋体"/>
                <w:color w:val="000000"/>
                <w:sz w:val="24"/>
                <w:highlight w:val="none"/>
              </w:rPr>
            </w:pPr>
            <w:r>
              <w:rPr>
                <w:rFonts w:hint="eastAsia" w:ascii="宋体" w:hAnsi="宋体"/>
                <w:color w:val="000000"/>
                <w:sz w:val="24"/>
                <w:highlight w:val="none"/>
              </w:rPr>
              <w:t xml:space="preserve">项目负责人</w:t>
            </w:r>
            <w:r>
              <w:rPr>
                <w:rFonts w:ascii="宋体" w:hAnsi="宋体"/>
                <w:color w:val="000000"/>
                <w:sz w:val="24"/>
                <w:highlight w:val="none"/>
              </w:rPr>
            </w:r>
            <w:r/>
          </w:p>
        </w:tc>
        <w:tc>
          <w:tcPr>
            <w:tcW w:w="913" w:type="dxa"/>
            <w:vAlign w:val="center"/>
            <w:textDirection w:val="lrTb"/>
            <w:noWrap w:val="false"/>
          </w:tcPr>
          <w:p>
            <w:pPr>
              <w:pStyle w:val="1068"/>
              <w:ind w:firstLine="28"/>
              <w:jc w:val="center"/>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6396" w:type="dxa"/>
            <w:vAlign w:val="center"/>
            <w:textDirection w:val="lrTb"/>
            <w:noWrap w:val="false"/>
          </w:tcPr>
          <w:p>
            <w:pPr>
              <w:pStyle w:val="1068"/>
              <w:rPr>
                <w:rFonts w:ascii="宋体" w:hAnsi="宋体"/>
                <w:color w:val="000000"/>
                <w:sz w:val="24"/>
                <w:highlight w:val="none"/>
              </w:rPr>
            </w:pPr>
            <w:r>
              <w:rPr>
                <w:rFonts w:hint="eastAsia" w:ascii="宋体" w:hAnsi="宋体"/>
                <w:color w:val="000000"/>
                <w:sz w:val="24"/>
                <w:highlight w:val="none"/>
              </w:rPr>
              <w:t xml:space="preserve">拟投入的项目负责人具有中级工程师职称证书的得3分，具有高级及以上工程师职称证书的得5分，其他不得分。</w:t>
            </w:r>
            <w:r>
              <w:rPr>
                <w:rFonts w:ascii="宋体" w:hAnsi="宋体"/>
                <w:color w:val="000000"/>
                <w:sz w:val="24"/>
                <w:highlight w:val="none"/>
              </w:rPr>
            </w:r>
            <w:r/>
          </w:p>
          <w:p>
            <w:pPr>
              <w:pStyle w:val="1068"/>
              <w:rPr>
                <w:rFonts w:hint="eastAsia" w:ascii="宋体" w:hAnsi="宋体"/>
                <w:color w:val="000000"/>
                <w:sz w:val="24"/>
                <w:highlight w:val="none"/>
              </w:rPr>
            </w:pPr>
            <w:r>
              <w:rPr>
                <w:rFonts w:hint="eastAsia" w:ascii="宋体" w:hAnsi="宋体"/>
                <w:b/>
                <w:color w:val="000000"/>
                <w:sz w:val="24"/>
                <w:highlight w:val="none"/>
              </w:rPr>
              <w:t xml:space="preserve">注：提供相关证书复印件及投标人为上述人员缴纳的近6个月（从投标截止时间起往前推算）的社保记录，否则不得分。</w:t>
            </w:r>
            <w:r>
              <w:rPr>
                <w:rFonts w:hint="eastAsia" w:ascii="宋体" w:hAnsi="宋体"/>
                <w:color w:val="000000"/>
                <w:sz w:val="24"/>
                <w:highlight w:val="none"/>
              </w:rPr>
            </w:r>
            <w:r/>
          </w:p>
        </w:tc>
      </w:tr>
      <w:tr>
        <w:trPr/>
        <w:tc>
          <w:tcPr>
            <w:tcW w:w="835" w:type="dxa"/>
            <w:vAlign w:val="center"/>
            <w:textDirection w:val="lrTb"/>
            <w:noWrap w:val="false"/>
          </w:tcPr>
          <w:p>
            <w:pPr>
              <w:pStyle w:val="1068"/>
              <w:ind w:firstLine="28"/>
              <w:jc w:val="center"/>
              <w:rPr>
                <w:rFonts w:ascii="宋体" w:hAnsi="宋体"/>
                <w:color w:val="000000"/>
                <w:sz w:val="24"/>
                <w:highlight w:val="none"/>
              </w:rPr>
            </w:pPr>
            <w:r>
              <w:rPr>
                <w:rFonts w:ascii="宋体" w:hAnsi="宋体"/>
                <w:color w:val="000000"/>
                <w:sz w:val="24"/>
                <w:highlight w:val="none"/>
              </w:rPr>
              <w:t xml:space="preserve">3.3</w:t>
            </w:r>
            <w:r>
              <w:rPr>
                <w:rFonts w:ascii="宋体" w:hAnsi="宋体"/>
                <w:color w:val="000000"/>
                <w:sz w:val="24"/>
                <w:highlight w:val="none"/>
              </w:rPr>
            </w:r>
            <w:r/>
          </w:p>
        </w:tc>
        <w:tc>
          <w:tcPr>
            <w:tcW w:w="1462" w:type="dxa"/>
            <w:vAlign w:val="center"/>
            <w:textDirection w:val="lrTb"/>
            <w:noWrap w:val="false"/>
          </w:tcPr>
          <w:p>
            <w:pPr>
              <w:pStyle w:val="1068"/>
              <w:ind w:firstLine="28"/>
              <w:jc w:val="center"/>
              <w:rPr>
                <w:rFonts w:ascii="宋体" w:hAnsi="宋体"/>
                <w:color w:val="000000"/>
                <w:sz w:val="24"/>
                <w:highlight w:val="none"/>
              </w:rPr>
            </w:pPr>
            <w:r>
              <w:rPr>
                <w:rFonts w:hint="eastAsia" w:ascii="宋体" w:hAnsi="宋体"/>
                <w:color w:val="000000"/>
                <w:sz w:val="24"/>
                <w:highlight w:val="none"/>
              </w:rPr>
              <w:t xml:space="preserve">项目组成员（除项目负责人外）</w:t>
            </w:r>
            <w:r>
              <w:rPr>
                <w:rFonts w:ascii="宋体" w:hAnsi="宋体"/>
                <w:color w:val="000000"/>
                <w:sz w:val="24"/>
                <w:highlight w:val="none"/>
              </w:rPr>
            </w:r>
            <w:r/>
          </w:p>
        </w:tc>
        <w:tc>
          <w:tcPr>
            <w:tcW w:w="913" w:type="dxa"/>
            <w:vAlign w:val="center"/>
            <w:textDirection w:val="lrTb"/>
            <w:noWrap w:val="false"/>
          </w:tcPr>
          <w:p>
            <w:pPr>
              <w:pStyle w:val="1068"/>
              <w:ind w:firstLine="28"/>
              <w:jc w:val="center"/>
              <w:rPr>
                <w:rFonts w:ascii="宋体" w:hAnsi="宋体"/>
                <w:color w:val="000000"/>
                <w:sz w:val="24"/>
                <w:highlight w:val="none"/>
              </w:rPr>
            </w:pPr>
            <w:r>
              <w:rPr>
                <w:rFonts w:hint="eastAsia" w:ascii="宋体" w:hAnsi="宋体"/>
                <w:color w:val="000000"/>
                <w:sz w:val="24"/>
                <w:highlight w:val="none"/>
              </w:rPr>
              <w:t xml:space="preserve">20</w:t>
            </w:r>
            <w:r>
              <w:rPr>
                <w:rFonts w:ascii="宋体" w:hAnsi="宋体"/>
                <w:color w:val="000000"/>
                <w:sz w:val="24"/>
                <w:highlight w:val="none"/>
              </w:rPr>
            </w:r>
            <w:r/>
          </w:p>
        </w:tc>
        <w:tc>
          <w:tcPr>
            <w:tcW w:w="6396" w:type="dxa"/>
            <w:vAlign w:val="center"/>
            <w:textDirection w:val="lrTb"/>
            <w:noWrap w:val="false"/>
          </w:tcPr>
          <w:p>
            <w:pPr>
              <w:pStyle w:val="1068"/>
              <w:rPr>
                <w:rFonts w:hint="eastAsia" w:ascii="宋体" w:hAnsi="宋体"/>
                <w:b/>
                <w:color w:val="000000"/>
                <w:sz w:val="24"/>
                <w:highlight w:val="none"/>
              </w:rPr>
            </w:pPr>
            <w:r>
              <w:rPr>
                <w:rFonts w:hint="eastAsia" w:ascii="宋体" w:hAnsi="宋体"/>
                <w:b/>
                <w:color w:val="000000"/>
                <w:sz w:val="24"/>
                <w:highlight w:val="none"/>
              </w:rPr>
              <w:t xml:space="preserve">项目组成员（除项目负责人外）：</w:t>
            </w:r>
            <w:r>
              <w:rPr>
                <w:rFonts w:hint="eastAsia" w:ascii="宋体" w:hAnsi="宋体"/>
                <w:b/>
                <w:color w:val="000000"/>
                <w:sz w:val="24"/>
                <w:highlight w:val="none"/>
              </w:rPr>
            </w:r>
            <w:r/>
          </w:p>
          <w:p>
            <w:pPr>
              <w:pStyle w:val="1068"/>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具有检测上岗证的，每有一人得0.5分，最高4分。</w:t>
            </w:r>
            <w:r>
              <w:rPr>
                <w:rFonts w:hint="eastAsia" w:ascii="宋体" w:hAnsi="宋体"/>
                <w:color w:val="000000"/>
                <w:sz w:val="24"/>
                <w:highlight w:val="none"/>
              </w:rPr>
            </w:r>
            <w:r/>
          </w:p>
          <w:p>
            <w:pPr>
              <w:pStyle w:val="1068"/>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具有高级及以上工程师职称的，每有一人得2分；具有中级工程师职称的，每有一人得1分；本项最高16分。</w:t>
            </w:r>
            <w:r>
              <w:rPr>
                <w:rFonts w:hint="eastAsia" w:ascii="宋体" w:hAnsi="宋体"/>
                <w:color w:val="000000"/>
                <w:sz w:val="24"/>
                <w:highlight w:val="none"/>
              </w:rPr>
            </w:r>
            <w:r/>
          </w:p>
          <w:p>
            <w:pPr>
              <w:pStyle w:val="1068"/>
              <w:rPr>
                <w:rFonts w:hint="eastAsia" w:ascii="宋体" w:hAnsi="宋体"/>
                <w:b/>
                <w:color w:val="000000"/>
                <w:sz w:val="24"/>
                <w:highlight w:val="none"/>
              </w:rPr>
            </w:pPr>
            <w:r>
              <w:rPr>
                <w:rFonts w:hint="eastAsia" w:ascii="宋体" w:hAnsi="宋体"/>
                <w:b/>
                <w:color w:val="000000"/>
                <w:sz w:val="24"/>
                <w:highlight w:val="none"/>
              </w:rPr>
              <w:t xml:space="preserve">注：提供相关证书复印件及投标人为上述人员缴纳的近6个月（从投标截止时间起往前推算）的社保记录，否则不得分。</w:t>
            </w:r>
            <w:r>
              <w:rPr>
                <w:rFonts w:hint="eastAsia" w:ascii="宋体" w:hAnsi="宋体"/>
                <w:b/>
                <w:color w:val="000000"/>
                <w:sz w:val="24"/>
                <w:highlight w:val="none"/>
              </w:rPr>
            </w:r>
            <w:r/>
          </w:p>
        </w:tc>
      </w:tr>
      <w:tr>
        <w:trPr/>
        <w:tc>
          <w:tcPr>
            <w:gridSpan w:val="2"/>
            <w:tcW w:w="2297" w:type="dxa"/>
            <w:vAlign w:val="center"/>
            <w:textDirection w:val="lrTb"/>
            <w:noWrap w:val="false"/>
          </w:tcPr>
          <w:p>
            <w:pPr>
              <w:pStyle w:val="1068"/>
              <w:ind w:firstLine="28"/>
              <w:jc w:val="center"/>
              <w:rPr>
                <w:rFonts w:ascii="宋体" w:hAnsi="宋体"/>
                <w:color w:val="000000"/>
                <w:sz w:val="24"/>
                <w:highlight w:val="none"/>
              </w:rPr>
            </w:pPr>
            <w:r>
              <w:rPr>
                <w:rFonts w:ascii="宋体" w:hAnsi="宋体"/>
                <w:color w:val="000000"/>
                <w:sz w:val="24"/>
                <w:highlight w:val="none"/>
              </w:rPr>
              <w:t xml:space="preserve">合计</w:t>
            </w:r>
            <w:r>
              <w:rPr>
                <w:rFonts w:ascii="宋体" w:hAnsi="宋体"/>
                <w:color w:val="000000"/>
                <w:sz w:val="24"/>
                <w:highlight w:val="none"/>
              </w:rPr>
            </w:r>
            <w:r/>
          </w:p>
        </w:tc>
        <w:tc>
          <w:tcPr>
            <w:tcW w:w="913" w:type="dxa"/>
            <w:vAlign w:val="center"/>
            <w:textDirection w:val="lrTb"/>
            <w:noWrap w:val="false"/>
          </w:tcPr>
          <w:p>
            <w:pPr>
              <w:pStyle w:val="1068"/>
              <w:ind w:firstLine="28"/>
              <w:jc w:val="center"/>
              <w:rPr>
                <w:rFonts w:ascii="宋体" w:hAnsi="宋体"/>
                <w:color w:val="000000"/>
                <w:sz w:val="24"/>
                <w:highlight w:val="none"/>
              </w:rPr>
            </w:pPr>
            <w:r>
              <w:rPr>
                <w:rFonts w:ascii="宋体" w:hAnsi="宋体"/>
                <w:color w:val="000000"/>
                <w:sz w:val="24"/>
                <w:highlight w:val="none"/>
              </w:rPr>
              <w:t xml:space="preserve">100</w:t>
            </w:r>
            <w:r>
              <w:rPr>
                <w:rFonts w:ascii="宋体" w:hAnsi="宋体"/>
                <w:color w:val="000000"/>
                <w:sz w:val="24"/>
                <w:highlight w:val="none"/>
              </w:rPr>
            </w:r>
            <w:r/>
          </w:p>
        </w:tc>
        <w:tc>
          <w:tcPr>
            <w:tcW w:w="6396" w:type="dxa"/>
            <w:vAlign w:val="center"/>
            <w:textDirection w:val="lrTb"/>
            <w:noWrap w:val="false"/>
          </w:tcPr>
          <w:p>
            <w:pPr>
              <w:pStyle w:val="1068"/>
              <w:rPr>
                <w:rFonts w:ascii="宋体" w:hAnsi="宋体"/>
                <w:color w:val="000000"/>
                <w:sz w:val="24"/>
                <w:highlight w:val="none"/>
              </w:rPr>
            </w:pPr>
            <w:r>
              <w:rPr>
                <w:rFonts w:ascii="宋体" w:hAnsi="宋体"/>
                <w:color w:val="000000"/>
                <w:sz w:val="24"/>
                <w:highlight w:val="none"/>
              </w:rPr>
            </w:r>
            <w:r/>
          </w:p>
        </w:tc>
      </w:tr>
    </w:tbl>
    <w:p>
      <w:pPr>
        <w:pStyle w:val="1068"/>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68"/>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68"/>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4" w:name="_Toc99301424"/>
      <w:r>
        <w:rPr>
          <w:rFonts w:ascii="宋体" w:hAnsi="宋体"/>
          <w:b/>
          <w:color w:val="000000"/>
          <w:sz w:val="36"/>
          <w:szCs w:val="36"/>
          <w:highlight w:val="none"/>
        </w:rPr>
        <w:t xml:space="preserve">第五章   采购需求</w:t>
      </w:r>
      <w:bookmarkEnd w:id="814"/>
      <w:r>
        <w:rPr>
          <w:rFonts w:ascii="宋体" w:hAnsi="宋体"/>
          <w:b/>
          <w:color w:val="000000"/>
          <w:sz w:val="36"/>
          <w:szCs w:val="36"/>
          <w:highlight w:val="none"/>
        </w:rPr>
      </w:r>
      <w:r/>
    </w:p>
    <w:p>
      <w:pPr>
        <w:pStyle w:val="1162"/>
        <w:contextualSpacing/>
        <w:ind w:left="-2" w:firstLine="482"/>
        <w:jc w:val="left"/>
        <w:spacing w:line="360" w:lineRule="auto"/>
        <w:tabs>
          <w:tab w:val="left" w:pos="567" w:leader="none"/>
        </w:tabs>
        <w:rPr>
          <w:rFonts w:ascii="宋体" w:hAnsi="宋体"/>
          <w:b/>
          <w:color w:val="000000"/>
          <w:sz w:val="24"/>
          <w:szCs w:val="24"/>
          <w:highlight w:val="none"/>
        </w:rPr>
      </w:pPr>
      <w:r>
        <w:rPr>
          <w:rFonts w:hint="eastAsia" w:ascii="宋体" w:hAnsi="宋体"/>
          <w:b/>
          <w:color w:val="000000"/>
          <w:sz w:val="24"/>
          <w:szCs w:val="24"/>
          <w:highlight w:val="none"/>
        </w:rPr>
        <w:t xml:space="preserve">一、项目概况</w:t>
      </w:r>
      <w:r>
        <w:rPr>
          <w:rFonts w:ascii="宋体" w:hAnsi="宋体"/>
          <w:b/>
          <w:color w:val="000000"/>
          <w:sz w:val="24"/>
          <w:szCs w:val="24"/>
          <w:highlight w:val="none"/>
        </w:rPr>
      </w:r>
      <w:r/>
    </w:p>
    <w:p>
      <w:pPr>
        <w:pStyle w:val="1162"/>
        <w:contextualSpacing/>
        <w:ind w:left="-2" w:firstLine="480"/>
        <w:jc w:val="left"/>
        <w:spacing w:line="360" w:lineRule="auto"/>
        <w:tabs>
          <w:tab w:val="left" w:pos="567"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本项目为前黄镇2025年土地复垦项目土壤压实承载力检测，项目涉及面积约2500亩。</w:t>
      </w:r>
      <w:r>
        <w:rPr>
          <w:rFonts w:hint="eastAsia" w:ascii="宋体" w:hAnsi="宋体"/>
          <w:color w:val="000000"/>
          <w:sz w:val="24"/>
          <w:szCs w:val="24"/>
          <w:highlight w:val="none"/>
        </w:rPr>
      </w:r>
      <w:r/>
    </w:p>
    <w:p>
      <w:pPr>
        <w:pStyle w:val="1162"/>
        <w:contextualSpacing/>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二、检测内容</w:t>
      </w:r>
      <w:r>
        <w:rPr>
          <w:rFonts w:ascii="宋体" w:hAnsi="宋体"/>
          <w:b/>
          <w:color w:val="000000"/>
          <w:sz w:val="24"/>
          <w:szCs w:val="24"/>
          <w:highlight w:val="none"/>
        </w:rPr>
      </w:r>
      <w:r/>
    </w:p>
    <w:p>
      <w:pPr>
        <w:pStyle w:val="1162"/>
        <w:contextualSpacing/>
        <w:ind w:left="-2" w:firstLine="480"/>
        <w:jc w:val="left"/>
        <w:spacing w:line="360" w:lineRule="auto"/>
        <w:tabs>
          <w:tab w:val="left" w:pos="567" w:leader="none"/>
        </w:tabs>
        <w:rPr>
          <w:rFonts w:ascii="宋体" w:hAnsi="宋体" w:eastAsia="等线"/>
          <w:color w:val="000000"/>
          <w:sz w:val="24"/>
          <w:szCs w:val="24"/>
          <w:highlight w:val="none"/>
        </w:rPr>
      </w:pPr>
      <w:r>
        <w:rPr>
          <w:rFonts w:hint="eastAsia" w:ascii="宋体" w:hAnsi="宋体"/>
          <w:color w:val="000000"/>
          <w:sz w:val="24"/>
          <w:szCs w:val="24"/>
          <w:highlight w:val="none"/>
        </w:rPr>
        <w:t xml:space="preserve">检测范围：复垦地块全部压实区域，总面积约</w:t>
      </w:r>
      <w:r>
        <w:rPr>
          <w:rFonts w:ascii="宋体" w:hAnsi="宋体"/>
          <w:color w:val="000000"/>
          <w:sz w:val="24"/>
          <w:szCs w:val="24"/>
          <w:highlight w:val="none"/>
        </w:rPr>
        <w:t xml:space="preserve">2500</w:t>
      </w:r>
      <w:r>
        <w:rPr>
          <w:rFonts w:hint="eastAsia" w:ascii="宋体" w:hAnsi="宋体"/>
          <w:color w:val="000000"/>
          <w:sz w:val="24"/>
          <w:szCs w:val="24"/>
          <w:highlight w:val="none"/>
        </w:rPr>
        <w:t xml:space="preserve">亩，具体检测区域以采购人指定为准，需覆盖不同压实分区、不同土层深度（表层</w:t>
      </w:r>
      <w:r>
        <w:rPr>
          <w:rFonts w:ascii="宋体" w:hAnsi="宋体"/>
          <w:color w:val="000000"/>
          <w:sz w:val="24"/>
          <w:szCs w:val="24"/>
          <w:highlight w:val="none"/>
        </w:rPr>
        <w:t xml:space="preserve"> 0-30cm</w:t>
      </w:r>
      <w:r>
        <w:rPr>
          <w:rFonts w:hint="eastAsia" w:ascii="宋体" w:hAnsi="宋体"/>
          <w:color w:val="000000"/>
          <w:sz w:val="24"/>
          <w:szCs w:val="24"/>
          <w:highlight w:val="none"/>
        </w:rPr>
        <w:t xml:space="preserve">、中层</w:t>
      </w:r>
      <w:r>
        <w:rPr>
          <w:rFonts w:ascii="宋体" w:hAnsi="宋体"/>
          <w:color w:val="000000"/>
          <w:sz w:val="24"/>
          <w:szCs w:val="24"/>
          <w:highlight w:val="none"/>
        </w:rPr>
        <w:t xml:space="preserve">30-60cm</w:t>
      </w:r>
      <w:r>
        <w:rPr>
          <w:rFonts w:hint="eastAsia" w:ascii="宋体" w:hAnsi="宋体"/>
          <w:color w:val="000000"/>
          <w:sz w:val="24"/>
          <w:szCs w:val="24"/>
          <w:highlight w:val="none"/>
        </w:rPr>
        <w:t xml:space="preserve">、深层</w:t>
      </w:r>
      <w:r>
        <w:rPr>
          <w:rFonts w:ascii="宋体" w:hAnsi="宋体"/>
          <w:color w:val="000000"/>
          <w:sz w:val="24"/>
          <w:szCs w:val="24"/>
          <w:highlight w:val="none"/>
        </w:rPr>
        <w:t xml:space="preserve"> 60-100cm</w:t>
      </w:r>
      <w:r>
        <w:rPr>
          <w:rFonts w:hint="eastAsia" w:ascii="宋体" w:hAnsi="宋体"/>
          <w:color w:val="000000"/>
          <w:sz w:val="24"/>
          <w:szCs w:val="24"/>
          <w:highlight w:val="none"/>
        </w:rPr>
        <w:t xml:space="preserve">）。</w:t>
      </w:r>
      <w:r>
        <w:rPr>
          <w:rFonts w:ascii="宋体" w:hAnsi="宋体" w:eastAsia="等线"/>
          <w:color w:val="000000"/>
          <w:sz w:val="24"/>
          <w:szCs w:val="24"/>
          <w:highlight w:val="none"/>
        </w:rPr>
      </w:r>
      <w:r/>
    </w:p>
    <w:p>
      <w:pPr>
        <w:pStyle w:val="1162"/>
        <w:contextualSpacing/>
        <w:ind w:left="-2" w:firstLine="480"/>
        <w:jc w:val="left"/>
        <w:spacing w:line="360" w:lineRule="auto"/>
        <w:tabs>
          <w:tab w:val="left" w:pos="567" w:leader="none"/>
        </w:tabs>
        <w:rPr>
          <w:rFonts w:ascii="宋体" w:hAnsi="宋体" w:eastAsia="等线"/>
          <w:color w:val="000000"/>
          <w:sz w:val="24"/>
          <w:szCs w:val="24"/>
          <w:highlight w:val="none"/>
        </w:rPr>
      </w:pPr>
      <w:r>
        <w:rPr>
          <w:rFonts w:hint="eastAsia" w:ascii="宋体" w:hAnsi="宋体"/>
          <w:color w:val="000000"/>
          <w:sz w:val="24"/>
          <w:szCs w:val="24"/>
          <w:highlight w:val="none"/>
        </w:rPr>
        <w:t xml:space="preserve">检测指标：核心检测指标为土壤压实承载力（地基承载力特征值</w:t>
      </w:r>
      <w:r>
        <w:rPr>
          <w:rFonts w:ascii="宋体" w:hAnsi="宋体"/>
          <w:color w:val="000000"/>
          <w:sz w:val="24"/>
          <w:szCs w:val="24"/>
          <w:highlight w:val="none"/>
        </w:rPr>
        <w:t xml:space="preserve"> fak</w:t>
      </w:r>
      <w:r>
        <w:rPr>
          <w:rFonts w:hint="eastAsia" w:ascii="宋体" w:hAnsi="宋体"/>
          <w:color w:val="000000"/>
          <w:sz w:val="24"/>
          <w:szCs w:val="24"/>
          <w:highlight w:val="none"/>
        </w:rPr>
        <w:t xml:space="preserve">）。</w:t>
      </w:r>
      <w:r>
        <w:rPr>
          <w:rFonts w:ascii="宋体" w:hAnsi="宋体" w:eastAsia="等线"/>
          <w:color w:val="000000"/>
          <w:sz w:val="24"/>
          <w:szCs w:val="24"/>
          <w:highlight w:val="none"/>
        </w:rPr>
      </w:r>
      <w:r/>
    </w:p>
    <w:p>
      <w:pPr>
        <w:pStyle w:val="1162"/>
        <w:contextualSpacing/>
        <w:ind w:left="-2" w:firstLine="480"/>
        <w:jc w:val="left"/>
        <w:spacing w:line="360" w:lineRule="auto"/>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检测数量：</w:t>
      </w:r>
      <w:r>
        <w:rPr>
          <w:rFonts w:ascii="宋体" w:hAnsi="宋体"/>
          <w:color w:val="000000"/>
          <w:sz w:val="24"/>
          <w:szCs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3054"/>
        <w:gridCol w:w="3089"/>
        <w:gridCol w:w="3145"/>
      </w:tblGrid>
      <w:tr>
        <w:trPr>
          <w:trHeight w:val="170"/>
        </w:trPr>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68"/>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检测类型</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068"/>
              <w:jc w:val="center"/>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部位</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068"/>
              <w:jc w:val="center"/>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工程量（点）</w:t>
            </w:r>
            <w:r>
              <w:rPr>
                <w:rFonts w:hint="eastAsia" w:ascii="宋体" w:hAnsi="宋体" w:cs="宋体"/>
                <w:color w:val="000000"/>
                <w:sz w:val="24"/>
                <w:highlight w:val="none"/>
              </w:rPr>
            </w:r>
            <w:r/>
          </w:p>
        </w:tc>
      </w:tr>
      <w:tr>
        <w:trPr>
          <w:trHeight w:val="170"/>
        </w:trPr>
        <w:tc>
          <w:tcPr>
            <w:tcBorders>
              <w:top w:val="single" w:color="000000" w:sz="4" w:space="0"/>
              <w:left w:val="single" w:color="000000" w:sz="4" w:space="0"/>
              <w:bottom w:val="single" w:color="000000" w:sz="4" w:space="0"/>
              <w:right w:val="single" w:color="000000" w:sz="4" w:space="0"/>
            </w:tcBorders>
            <w:tcW w:w="1644" w:type="dxa"/>
            <w:vAlign w:val="center"/>
            <w:vMerge w:val="restart"/>
            <w:textDirection w:val="lrTb"/>
            <w:noWrap w:val="false"/>
          </w:tcPr>
          <w:p>
            <w:pPr>
              <w:pStyle w:val="1068"/>
              <w:jc w:val="center"/>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浅层平板载荷试验</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068"/>
              <w:jc w:val="center"/>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第一层（</w:t>
            </w:r>
            <w:r>
              <w:rPr>
                <w:rFonts w:hint="eastAsia" w:ascii="宋体" w:hAnsi="宋体"/>
                <w:color w:val="000000"/>
                <w:sz w:val="24"/>
                <w:highlight w:val="none"/>
              </w:rPr>
              <w:t xml:space="preserve">表层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068"/>
              <w:jc w:val="center"/>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500</w:t>
            </w:r>
            <w:r>
              <w:rPr>
                <w:rFonts w:hint="eastAsia" w:ascii="宋体" w:hAnsi="宋体" w:cs="宋体"/>
                <w:color w:val="000000"/>
                <w:sz w:val="24"/>
                <w:highlight w:val="none"/>
              </w:rPr>
            </w:r>
            <w:r/>
          </w:p>
        </w:tc>
      </w:tr>
      <w:tr>
        <w:trPr>
          <w:trHeight w:val="170"/>
        </w:trPr>
        <w:tc>
          <w:tcPr>
            <w:tcBorders>
              <w:top w:val="single" w:color="000000" w:sz="4" w:space="0"/>
              <w:left w:val="single" w:color="000000" w:sz="4" w:space="0"/>
              <w:bottom w:val="single" w:color="000000" w:sz="4" w:space="0"/>
              <w:right w:val="single" w:color="000000" w:sz="4" w:space="0"/>
            </w:tcBorders>
            <w:tcW w:w="1644" w:type="dxa"/>
            <w:vAlign w:val="center"/>
            <w:vMerge w:val="continue"/>
            <w:textDirection w:val="lrTb"/>
            <w:noWrap w:val="false"/>
          </w:tcPr>
          <w:p>
            <w:pPr>
              <w:pStyle w:val="1068"/>
              <w:jc w:val="left"/>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068"/>
              <w:jc w:val="center"/>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第二层（</w:t>
            </w:r>
            <w:r>
              <w:rPr>
                <w:rFonts w:hint="eastAsia" w:ascii="宋体" w:hAnsi="宋体"/>
                <w:color w:val="000000"/>
                <w:sz w:val="24"/>
                <w:highlight w:val="none"/>
              </w:rPr>
              <w:t xml:space="preserve">中层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068"/>
              <w:jc w:val="center"/>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150</w:t>
            </w:r>
            <w:r>
              <w:rPr>
                <w:rFonts w:hint="eastAsia" w:ascii="宋体" w:hAnsi="宋体" w:cs="宋体"/>
                <w:color w:val="000000"/>
                <w:sz w:val="24"/>
                <w:highlight w:val="none"/>
              </w:rPr>
            </w:r>
            <w:r/>
          </w:p>
        </w:tc>
      </w:tr>
      <w:tr>
        <w:trPr>
          <w:trHeight w:val="170"/>
        </w:trPr>
        <w:tc>
          <w:tcPr>
            <w:tcBorders>
              <w:top w:val="single" w:color="000000" w:sz="4" w:space="0"/>
              <w:left w:val="single" w:color="000000" w:sz="4" w:space="0"/>
              <w:bottom w:val="single" w:color="000000" w:sz="4" w:space="0"/>
              <w:right w:val="single" w:color="000000" w:sz="4" w:space="0"/>
            </w:tcBorders>
            <w:tcW w:w="1644" w:type="dxa"/>
            <w:vAlign w:val="center"/>
            <w:vMerge w:val="continue"/>
            <w:textDirection w:val="lrTb"/>
            <w:noWrap w:val="false"/>
          </w:tcPr>
          <w:p>
            <w:pPr>
              <w:pStyle w:val="1068"/>
              <w:jc w:val="left"/>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068"/>
              <w:jc w:val="center"/>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第三层（</w:t>
            </w:r>
            <w:r>
              <w:rPr>
                <w:rFonts w:hint="eastAsia" w:ascii="宋体" w:hAnsi="宋体"/>
                <w:color w:val="000000"/>
                <w:sz w:val="24"/>
                <w:highlight w:val="none"/>
              </w:rPr>
              <w:t xml:space="preserve">深层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068"/>
              <w:jc w:val="center"/>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150</w:t>
            </w:r>
            <w:r>
              <w:rPr>
                <w:rFonts w:hint="eastAsia" w:ascii="宋体" w:hAnsi="宋体" w:cs="宋体"/>
                <w:color w:val="000000"/>
                <w:sz w:val="24"/>
                <w:highlight w:val="none"/>
              </w:rPr>
            </w:r>
            <w:r/>
          </w:p>
        </w:tc>
      </w:tr>
    </w:tbl>
    <w:p>
      <w:pPr>
        <w:pStyle w:val="1162"/>
        <w:contextualSpacing/>
        <w:ind w:left="-2" w:firstLine="480"/>
        <w:jc w:val="left"/>
        <w:spacing w:line="360" w:lineRule="auto"/>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每个检测点需在不同土层深度采集样本，进行原位测试，且需均匀分布于复垦地块，重点覆盖压实薄弱区域（如地块边缘、低洼处）。</w:t>
      </w:r>
      <w:r>
        <w:rPr>
          <w:rFonts w:ascii="宋体" w:hAnsi="宋体"/>
          <w:color w:val="000000"/>
          <w:sz w:val="24"/>
          <w:szCs w:val="24"/>
          <w:highlight w:val="none"/>
        </w:rPr>
      </w:r>
      <w:r/>
    </w:p>
    <w:p>
      <w:pPr>
        <w:pStyle w:val="1162"/>
        <w:contextualSpacing/>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三、检测依据及标准</w:t>
      </w:r>
      <w:r>
        <w:rPr>
          <w:rFonts w:hint="eastAsia" w:ascii="宋体" w:hAnsi="宋体"/>
          <w:b/>
          <w:color w:val="000000"/>
          <w:sz w:val="24"/>
          <w:szCs w:val="24"/>
          <w:highlight w:val="none"/>
        </w:rPr>
      </w:r>
      <w:r/>
    </w:p>
    <w:p>
      <w:pPr>
        <w:pStyle w:val="1162"/>
        <w:contextualSpacing/>
        <w:ind w:left="-2" w:firstLine="480"/>
        <w:jc w:val="left"/>
        <w:spacing w:line="360" w:lineRule="auto"/>
        <w:tabs>
          <w:tab w:val="left" w:pos="567" w:leader="none"/>
        </w:tabs>
        <w:rPr>
          <w:rFonts w:ascii="宋体" w:hAnsi="宋体" w:eastAsia="等线"/>
          <w:color w:val="000000"/>
          <w:sz w:val="24"/>
          <w:szCs w:val="24"/>
          <w:highlight w:val="none"/>
        </w:rPr>
      </w:pPr>
      <w:r>
        <w:rPr>
          <w:rFonts w:hint="eastAsia" w:ascii="宋体" w:hAnsi="宋体"/>
          <w:color w:val="000000"/>
          <w:sz w:val="24"/>
          <w:szCs w:val="24"/>
          <w:highlight w:val="none"/>
        </w:rPr>
        <w:t xml:space="preserve">《建筑地基基础工程施工质量验收标准》（</w:t>
      </w:r>
      <w:r>
        <w:rPr>
          <w:rFonts w:ascii="宋体" w:hAnsi="宋体"/>
          <w:color w:val="000000"/>
          <w:sz w:val="24"/>
          <w:szCs w:val="24"/>
          <w:highlight w:val="none"/>
        </w:rPr>
        <w:t xml:space="preserve">GB 50202-2018</w:t>
      </w:r>
      <w:r>
        <w:rPr>
          <w:rFonts w:hint="eastAsia" w:ascii="宋体" w:hAnsi="宋体"/>
          <w:color w:val="000000"/>
          <w:sz w:val="24"/>
          <w:szCs w:val="24"/>
          <w:highlight w:val="none"/>
        </w:rPr>
        <w:t xml:space="preserve">）</w:t>
      </w:r>
      <w:r>
        <w:rPr>
          <w:rFonts w:ascii="宋体" w:hAnsi="宋体" w:eastAsia="等线"/>
          <w:color w:val="000000"/>
          <w:sz w:val="24"/>
          <w:szCs w:val="24"/>
          <w:highlight w:val="none"/>
        </w:rPr>
      </w:r>
      <w:r/>
    </w:p>
    <w:p>
      <w:pPr>
        <w:pStyle w:val="1162"/>
        <w:contextualSpacing/>
        <w:ind w:left="-2" w:firstLine="480"/>
        <w:jc w:val="left"/>
        <w:spacing w:line="360" w:lineRule="auto"/>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其他相关现行国家标准、行业标准及地方规范。</w:t>
      </w:r>
      <w:r>
        <w:rPr>
          <w:rFonts w:ascii="宋体" w:hAnsi="宋体"/>
          <w:color w:val="000000"/>
          <w:sz w:val="24"/>
          <w:szCs w:val="24"/>
          <w:highlight w:val="none"/>
        </w:rPr>
      </w:r>
      <w:r/>
    </w:p>
    <w:p>
      <w:pPr>
        <w:pStyle w:val="1162"/>
        <w:contextualSpacing/>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四、服务要求</w:t>
      </w:r>
      <w:r>
        <w:rPr>
          <w:rFonts w:hint="eastAsia" w:ascii="宋体" w:hAnsi="宋体"/>
          <w:b/>
          <w:color w:val="000000"/>
          <w:sz w:val="24"/>
          <w:szCs w:val="24"/>
          <w:highlight w:val="none"/>
        </w:rPr>
      </w:r>
      <w:r/>
    </w:p>
    <w:p>
      <w:pPr>
        <w:pStyle w:val="1162"/>
        <w:contextualSpacing/>
        <w:ind w:left="-2" w:firstLine="480"/>
        <w:jc w:val="left"/>
        <w:spacing w:line="360" w:lineRule="auto"/>
        <w:tabs>
          <w:tab w:val="left" w:pos="567" w:leader="none"/>
        </w:tabs>
        <w:rPr>
          <w:rFonts w:ascii="宋体" w:hAnsi="宋体" w:eastAsia="等线"/>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检测流程：</w:t>
      </w:r>
      <w:r>
        <w:rPr>
          <w:rFonts w:ascii="宋体" w:hAnsi="宋体" w:eastAsia="等线"/>
          <w:color w:val="000000"/>
          <w:sz w:val="24"/>
          <w:szCs w:val="24"/>
          <w:highlight w:val="none"/>
        </w:rPr>
      </w:r>
      <w:r/>
    </w:p>
    <w:p>
      <w:pPr>
        <w:pStyle w:val="1162"/>
        <w:contextualSpacing/>
        <w:ind w:left="-2" w:firstLine="480"/>
        <w:jc w:val="left"/>
        <w:spacing w:line="360" w:lineRule="auto"/>
        <w:tabs>
          <w:tab w:val="left" w:pos="567" w:leader="none"/>
        </w:tabs>
        <w:rPr>
          <w:rFonts w:ascii="宋体" w:hAnsi="宋体" w:eastAsia="等线"/>
          <w:color w:val="000000"/>
          <w:sz w:val="24"/>
          <w:szCs w:val="24"/>
          <w:highlight w:val="none"/>
        </w:rPr>
      </w:pPr>
      <w:r>
        <w:rPr>
          <w:rFonts w:hint="eastAsia" w:ascii="宋体" w:hAnsi="宋体"/>
          <w:color w:val="000000"/>
          <w:sz w:val="24"/>
          <w:szCs w:val="24"/>
          <w:highlight w:val="none"/>
        </w:rPr>
        <w:t xml:space="preserve">现场勘查：检测前需对复垦地块进行现场勘查，结合项目文件确定检测点位置、深度，制定详细检测方案，报采购人审核通过后实施。</w:t>
      </w:r>
      <w:r>
        <w:rPr>
          <w:rFonts w:ascii="宋体" w:hAnsi="宋体" w:eastAsia="等线"/>
          <w:color w:val="000000"/>
          <w:sz w:val="24"/>
          <w:szCs w:val="24"/>
          <w:highlight w:val="none"/>
        </w:rPr>
      </w:r>
      <w:r/>
    </w:p>
    <w:p>
      <w:pPr>
        <w:pStyle w:val="1162"/>
        <w:contextualSpacing/>
        <w:ind w:left="-2" w:firstLine="480"/>
        <w:jc w:val="left"/>
        <w:spacing w:line="360" w:lineRule="auto"/>
        <w:tabs>
          <w:tab w:val="left" w:pos="567" w:leader="none"/>
        </w:tabs>
        <w:rPr>
          <w:rFonts w:ascii="宋体" w:hAnsi="宋体" w:eastAsia="等线"/>
          <w:color w:val="000000"/>
          <w:sz w:val="24"/>
          <w:szCs w:val="24"/>
          <w:highlight w:val="none"/>
        </w:rPr>
      </w:pPr>
      <w:r>
        <w:rPr>
          <w:rFonts w:hint="eastAsia" w:ascii="宋体" w:hAnsi="宋体"/>
          <w:color w:val="000000"/>
          <w:sz w:val="24"/>
          <w:szCs w:val="24"/>
          <w:highlight w:val="none"/>
        </w:rPr>
        <w:t xml:space="preserve">样品采集</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原位测试：严格按照相关标准及检测方案进行样品采集或原位测试，做好现场记录，记录需真实、完整，由双方现场代表签字确认。</w:t>
      </w:r>
      <w:r>
        <w:rPr>
          <w:rFonts w:ascii="宋体" w:hAnsi="宋体" w:eastAsia="等线"/>
          <w:color w:val="000000"/>
          <w:sz w:val="24"/>
          <w:szCs w:val="24"/>
          <w:highlight w:val="none"/>
        </w:rPr>
      </w:r>
      <w:r/>
    </w:p>
    <w:p>
      <w:pPr>
        <w:pStyle w:val="1162"/>
        <w:contextualSpacing/>
        <w:ind w:left="-2" w:firstLine="480"/>
        <w:jc w:val="left"/>
        <w:spacing w:line="360" w:lineRule="auto"/>
        <w:tabs>
          <w:tab w:val="left" w:pos="567" w:leader="none"/>
        </w:tabs>
        <w:rPr>
          <w:rFonts w:ascii="宋体" w:hAnsi="宋体" w:eastAsia="等线"/>
          <w:color w:val="000000"/>
          <w:sz w:val="24"/>
          <w:szCs w:val="24"/>
          <w:highlight w:val="none"/>
        </w:rPr>
      </w:pPr>
      <w:r>
        <w:rPr>
          <w:rFonts w:hint="eastAsia" w:ascii="宋体" w:hAnsi="宋体"/>
          <w:color w:val="000000"/>
          <w:sz w:val="24"/>
          <w:szCs w:val="24"/>
          <w:highlight w:val="none"/>
        </w:rPr>
        <w:t xml:space="preserve">实验室分析：样品采集后需在</w:t>
      </w:r>
      <w:r>
        <w:rPr>
          <w:rFonts w:ascii="宋体" w:hAnsi="宋体"/>
          <w:color w:val="000000"/>
          <w:sz w:val="24"/>
          <w:szCs w:val="24"/>
          <w:highlight w:val="none"/>
        </w:rPr>
        <w:t xml:space="preserve"> 24 </w:t>
      </w:r>
      <w:r>
        <w:rPr>
          <w:rFonts w:hint="eastAsia" w:ascii="宋体" w:hAnsi="宋体"/>
          <w:color w:val="000000"/>
          <w:sz w:val="24"/>
          <w:szCs w:val="24"/>
          <w:highlight w:val="none"/>
        </w:rPr>
        <w:t xml:space="preserve">小时内送至实验室进行分析，实验过程严格遵循标准方法，确保数据准确性；原位测试需实时记录数据，避免人为误差。</w:t>
      </w:r>
      <w:r>
        <w:rPr>
          <w:rFonts w:ascii="宋体" w:hAnsi="宋体" w:eastAsia="等线"/>
          <w:color w:val="000000"/>
          <w:sz w:val="24"/>
          <w:szCs w:val="24"/>
          <w:highlight w:val="none"/>
        </w:rPr>
      </w:r>
      <w:r/>
    </w:p>
    <w:p>
      <w:pPr>
        <w:pStyle w:val="1162"/>
        <w:contextualSpacing/>
        <w:ind w:left="-2" w:firstLine="480"/>
        <w:jc w:val="left"/>
        <w:spacing w:line="360" w:lineRule="auto"/>
        <w:tabs>
          <w:tab w:val="left" w:pos="567" w:leader="none"/>
        </w:tabs>
        <w:rPr>
          <w:rFonts w:ascii="宋体" w:hAnsi="宋体" w:eastAsia="等线"/>
          <w:color w:val="000000"/>
          <w:sz w:val="24"/>
          <w:szCs w:val="24"/>
          <w:highlight w:val="none"/>
        </w:rPr>
      </w:pPr>
      <w:r>
        <w:rPr>
          <w:rFonts w:hint="eastAsia" w:ascii="宋体" w:hAnsi="宋体"/>
          <w:color w:val="000000"/>
          <w:sz w:val="24"/>
          <w:szCs w:val="24"/>
          <w:highlight w:val="none"/>
        </w:rPr>
        <w:t xml:space="preserve">数据审核：检测数据需经三级审核（采样员自检、技术负责人审核、质量负责人终审），确保无数据错误、遗漏。</w:t>
      </w:r>
      <w:r>
        <w:rPr>
          <w:rFonts w:ascii="宋体" w:hAnsi="宋体" w:eastAsia="等线"/>
          <w:color w:val="000000"/>
          <w:sz w:val="24"/>
          <w:szCs w:val="24"/>
          <w:highlight w:val="none"/>
        </w:rPr>
      </w:r>
      <w:r/>
    </w:p>
    <w:p>
      <w:pPr>
        <w:pStyle w:val="1162"/>
        <w:contextualSpacing/>
        <w:ind w:left="-2" w:firstLine="480"/>
        <w:jc w:val="left"/>
        <w:spacing w:line="360" w:lineRule="auto"/>
        <w:tabs>
          <w:tab w:val="left" w:pos="567" w:leader="none"/>
        </w:tabs>
        <w:rPr>
          <w:rFonts w:ascii="宋体" w:hAnsi="宋体" w:eastAsia="等线"/>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检测结果要求：</w:t>
      </w:r>
      <w:r>
        <w:rPr>
          <w:rFonts w:ascii="宋体" w:hAnsi="宋体" w:eastAsia="等线"/>
          <w:color w:val="000000"/>
          <w:sz w:val="24"/>
          <w:szCs w:val="24"/>
          <w:highlight w:val="none"/>
        </w:rPr>
      </w:r>
      <w:r/>
    </w:p>
    <w:p>
      <w:pPr>
        <w:pStyle w:val="1162"/>
        <w:contextualSpacing/>
        <w:ind w:left="-2" w:firstLine="480"/>
        <w:jc w:val="left"/>
        <w:spacing w:line="360" w:lineRule="auto"/>
        <w:tabs>
          <w:tab w:val="left" w:pos="567" w:leader="none"/>
        </w:tabs>
        <w:rPr>
          <w:rFonts w:ascii="宋体" w:hAnsi="宋体" w:eastAsia="等线"/>
          <w:color w:val="000000"/>
          <w:sz w:val="24"/>
          <w:szCs w:val="24"/>
          <w:highlight w:val="none"/>
        </w:rPr>
      </w:pPr>
      <w:r>
        <w:rPr>
          <w:rFonts w:hint="eastAsia" w:ascii="宋体" w:hAnsi="宋体"/>
          <w:color w:val="000000"/>
          <w:sz w:val="24"/>
          <w:szCs w:val="24"/>
          <w:highlight w:val="none"/>
        </w:rPr>
        <w:t xml:space="preserve">土壤压实承载力（</w:t>
      </w:r>
      <w:r>
        <w:rPr>
          <w:rFonts w:ascii="宋体" w:hAnsi="宋体"/>
          <w:color w:val="000000"/>
          <w:sz w:val="24"/>
          <w:szCs w:val="24"/>
          <w:highlight w:val="none"/>
        </w:rPr>
        <w:t xml:space="preserve">fak</w:t>
      </w:r>
      <w:r>
        <w:rPr>
          <w:rFonts w:hint="eastAsia" w:ascii="宋体" w:hAnsi="宋体"/>
          <w:color w:val="000000"/>
          <w:sz w:val="24"/>
          <w:szCs w:val="24"/>
          <w:highlight w:val="none"/>
        </w:rPr>
        <w:t xml:space="preserve">）、压实度需满足项目设计要求，其他指标需符合相关标准限值。</w:t>
      </w:r>
      <w:r>
        <w:rPr>
          <w:rFonts w:ascii="宋体" w:hAnsi="宋体" w:eastAsia="等线"/>
          <w:color w:val="000000"/>
          <w:sz w:val="24"/>
          <w:szCs w:val="24"/>
          <w:highlight w:val="none"/>
        </w:rPr>
      </w:r>
      <w:r/>
    </w:p>
    <w:p>
      <w:pPr>
        <w:pStyle w:val="1162"/>
        <w:contextualSpacing/>
        <w:ind w:left="-2" w:firstLine="480"/>
        <w:jc w:val="left"/>
        <w:spacing w:line="360" w:lineRule="auto"/>
        <w:tabs>
          <w:tab w:val="left" w:pos="567"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若检测结果不合格，分析不合格原因，并向采购人提交整改建议。</w:t>
      </w:r>
      <w:r>
        <w:rPr>
          <w:rFonts w:hint="eastAsia" w:ascii="宋体" w:hAnsi="宋体"/>
          <w:color w:val="000000"/>
          <w:sz w:val="24"/>
          <w:szCs w:val="24"/>
          <w:highlight w:val="none"/>
        </w:rPr>
      </w:r>
      <w:r/>
    </w:p>
    <w:p>
      <w:pPr>
        <w:pStyle w:val="1162"/>
        <w:contextualSpacing/>
        <w:ind w:left="-2" w:firstLine="480"/>
        <w:jc w:val="left"/>
        <w:spacing w:line="360" w:lineRule="auto"/>
        <w:tabs>
          <w:tab w:val="left" w:pos="567"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3.人员团队：</w:t>
      </w:r>
      <w:r>
        <w:rPr>
          <w:rFonts w:hint="eastAsia" w:ascii="宋体" w:hAnsi="宋体"/>
          <w:color w:val="000000"/>
          <w:sz w:val="24"/>
          <w:szCs w:val="24"/>
          <w:highlight w:val="none"/>
        </w:rPr>
      </w:r>
      <w:r/>
    </w:p>
    <w:p>
      <w:pPr>
        <w:pStyle w:val="1162"/>
        <w:contextualSpacing/>
        <w:ind w:left="-2" w:firstLine="480"/>
        <w:jc w:val="left"/>
        <w:spacing w:line="360" w:lineRule="auto"/>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项目组成员</w:t>
      </w:r>
      <w:r>
        <w:rPr>
          <w:rFonts w:hint="eastAsia" w:ascii="宋体" w:hAnsi="宋体"/>
          <w:color w:val="000000"/>
          <w:sz w:val="24"/>
          <w:szCs w:val="24"/>
          <w:highlight w:val="none"/>
        </w:rPr>
        <w:t xml:space="preserve">不少于9</w:t>
      </w:r>
      <w:r>
        <w:rPr>
          <w:rFonts w:ascii="宋体" w:hAnsi="宋体"/>
          <w:color w:val="000000"/>
          <w:sz w:val="24"/>
          <w:szCs w:val="24"/>
          <w:highlight w:val="none"/>
        </w:rPr>
        <w:t xml:space="preserve">名</w:t>
      </w:r>
      <w:r>
        <w:rPr>
          <w:rFonts w:hint="eastAsia" w:ascii="宋体" w:hAnsi="宋体"/>
          <w:color w:val="000000"/>
          <w:sz w:val="24"/>
          <w:szCs w:val="24"/>
          <w:highlight w:val="none"/>
        </w:rPr>
        <w:t xml:space="preserve">，含项目负责人1名</w:t>
      </w:r>
      <w:r>
        <w:rPr>
          <w:rFonts w:ascii="宋体" w:hAnsi="宋体"/>
          <w:color w:val="000000"/>
          <w:sz w:val="24"/>
          <w:szCs w:val="24"/>
          <w:highlight w:val="none"/>
        </w:rPr>
        <w:t xml:space="preserve">。</w:t>
      </w:r>
      <w:r>
        <w:rPr>
          <w:rFonts w:ascii="宋体" w:hAnsi="宋体"/>
          <w:color w:val="000000"/>
          <w:sz w:val="24"/>
          <w:szCs w:val="24"/>
          <w:highlight w:val="none"/>
        </w:rPr>
      </w:r>
      <w:r/>
    </w:p>
    <w:p>
      <w:pPr>
        <w:pStyle w:val="1162"/>
        <w:contextualSpacing/>
        <w:ind w:left="-2" w:firstLine="482"/>
        <w:jc w:val="left"/>
        <w:spacing w:line="360" w:lineRule="auto"/>
        <w:tabs>
          <w:tab w:val="left" w:pos="567"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五、成果要求</w:t>
      </w:r>
      <w:r>
        <w:rPr>
          <w:rFonts w:hint="eastAsia" w:ascii="宋体" w:hAnsi="宋体"/>
          <w:b/>
          <w:color w:val="000000"/>
          <w:sz w:val="24"/>
          <w:szCs w:val="24"/>
          <w:highlight w:val="none"/>
        </w:rPr>
      </w:r>
      <w:r/>
    </w:p>
    <w:p>
      <w:pPr>
        <w:pStyle w:val="1162"/>
        <w:contextualSpacing/>
        <w:ind w:left="-2" w:firstLine="480"/>
        <w:jc w:val="left"/>
        <w:spacing w:line="360" w:lineRule="auto"/>
        <w:tabs>
          <w:tab w:val="left" w:pos="567" w:leader="none"/>
        </w:tabs>
        <w:rPr>
          <w:rFonts w:ascii="宋体" w:hAnsi="宋体" w:eastAsia="等线"/>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交付内容：根据采购人要求提供检测报告及电子版。检测报告应包含但不限于：项目概况、检测依据、检测方案、检测数据、数据分析、检测结果、结论与建议、附件（校准证书复印件、现场记录、实验室原始数据等）。额外提供检测点分布图、数据汇总表（</w:t>
      </w:r>
      <w:r>
        <w:rPr>
          <w:rFonts w:ascii="宋体" w:hAnsi="宋体"/>
          <w:color w:val="000000"/>
          <w:sz w:val="24"/>
          <w:szCs w:val="24"/>
          <w:highlight w:val="none"/>
        </w:rPr>
        <w:t xml:space="preserve">Excel </w:t>
      </w:r>
      <w:r>
        <w:rPr>
          <w:rFonts w:hint="eastAsia" w:ascii="宋体" w:hAnsi="宋体"/>
          <w:color w:val="000000"/>
          <w:sz w:val="24"/>
          <w:szCs w:val="24"/>
          <w:highlight w:val="none"/>
        </w:rPr>
        <w:t xml:space="preserve">格式）。</w:t>
      </w:r>
      <w:r>
        <w:rPr>
          <w:rFonts w:ascii="宋体" w:hAnsi="宋体" w:eastAsia="等线"/>
          <w:color w:val="000000"/>
          <w:sz w:val="24"/>
          <w:szCs w:val="24"/>
          <w:highlight w:val="none"/>
        </w:rPr>
      </w:r>
      <w:r/>
    </w:p>
    <w:p>
      <w:pPr>
        <w:pStyle w:val="1162"/>
        <w:contextualSpacing/>
        <w:ind w:left="-2" w:firstLine="480"/>
        <w:jc w:val="left"/>
        <w:spacing w:line="360" w:lineRule="auto"/>
        <w:tabs>
          <w:tab w:val="left" w:pos="567" w:leader="none"/>
        </w:tabs>
        <w:rPr>
          <w:rFonts w:ascii="宋体" w:hAnsi="宋体" w:eastAsia="等线"/>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交付时间：全部检测工作完成后</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个工作日内提交检测报告初稿，经采购人审核提出修改意见后，</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个工作日内完成修改并提交终稿。</w:t>
      </w:r>
      <w:r>
        <w:rPr>
          <w:rFonts w:ascii="宋体" w:hAnsi="宋体" w:eastAsia="等线"/>
          <w:color w:val="000000"/>
          <w:sz w:val="24"/>
          <w:szCs w:val="24"/>
          <w:highlight w:val="none"/>
        </w:rPr>
      </w:r>
      <w:r/>
    </w:p>
    <w:p>
      <w:pPr>
        <w:pStyle w:val="1162"/>
        <w:contextualSpacing/>
        <w:ind w:left="-2" w:firstLine="480"/>
        <w:jc w:val="left"/>
        <w:spacing w:line="360" w:lineRule="auto"/>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成果质量：检测报告需数据真实、逻辑清晰、结论明确，符合相关标准及项目要求，若因报告质量问题导致采购人损失，由中标人承担相应责任。</w:t>
      </w:r>
      <w:r>
        <w:rPr>
          <w:rFonts w:ascii="宋体" w:hAnsi="宋体"/>
          <w:color w:val="000000"/>
          <w:sz w:val="24"/>
          <w:szCs w:val="24"/>
          <w:highlight w:val="none"/>
        </w:rPr>
      </w:r>
      <w:r/>
    </w:p>
    <w:p>
      <w:pPr>
        <w:pStyle w:val="1162"/>
        <w:contextualSpacing/>
        <w:ind w:left="-2" w:firstLine="482"/>
        <w:jc w:val="left"/>
        <w:spacing w:line="360" w:lineRule="auto"/>
        <w:tabs>
          <w:tab w:val="left" w:pos="567" w:leader="none"/>
        </w:tabs>
        <w:rPr>
          <w:rFonts w:ascii="宋体" w:hAnsi="宋体"/>
          <w:b/>
          <w:color w:val="000000"/>
          <w:sz w:val="24"/>
          <w:szCs w:val="24"/>
          <w:highlight w:val="none"/>
        </w:rPr>
      </w:pPr>
      <w:r>
        <w:rPr>
          <w:rFonts w:hint="eastAsia" w:ascii="宋体" w:hAnsi="宋体"/>
          <w:b/>
          <w:color w:val="000000"/>
          <w:sz w:val="24"/>
          <w:szCs w:val="24"/>
          <w:highlight w:val="none"/>
        </w:rPr>
        <w:t xml:space="preserve">六、售后服务</w:t>
      </w:r>
      <w:r>
        <w:rPr>
          <w:rFonts w:ascii="宋体" w:hAnsi="宋体"/>
          <w:b/>
          <w:color w:val="000000"/>
          <w:sz w:val="24"/>
          <w:szCs w:val="24"/>
          <w:highlight w:val="none"/>
        </w:rPr>
      </w:r>
      <w:r/>
    </w:p>
    <w:p>
      <w:pPr>
        <w:pStyle w:val="1162"/>
        <w:contextualSpacing/>
        <w:ind w:left="-2" w:firstLine="480"/>
        <w:jc w:val="left"/>
        <w:spacing w:line="360" w:lineRule="auto"/>
        <w:tabs>
          <w:tab w:val="left" w:pos="567" w:leader="none"/>
        </w:tabs>
        <w:rPr>
          <w:rFonts w:ascii="宋体" w:hAnsi="宋体" w:eastAsia="等线"/>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中标人需提供不少于</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个月的售后服务，期间若采购人对报告内容有疑问，需在</w:t>
      </w:r>
      <w:r>
        <w:rPr>
          <w:rFonts w:ascii="宋体" w:hAnsi="宋体"/>
          <w:color w:val="000000"/>
          <w:sz w:val="24"/>
          <w:szCs w:val="24"/>
          <w:highlight w:val="none"/>
        </w:rPr>
        <w:t xml:space="preserve"> 24 </w:t>
      </w:r>
      <w:r>
        <w:rPr>
          <w:rFonts w:hint="eastAsia" w:ascii="宋体" w:hAnsi="宋体"/>
          <w:color w:val="000000"/>
          <w:sz w:val="24"/>
          <w:szCs w:val="24"/>
          <w:highlight w:val="none"/>
        </w:rPr>
        <w:t xml:space="preserve">小时内给予书面答复；若因检测数据错误导致后续问题，需免费重新检测并承担相应赔偿责任。</w:t>
      </w:r>
      <w:r>
        <w:rPr>
          <w:rFonts w:ascii="宋体" w:hAnsi="宋体" w:eastAsia="等线"/>
          <w:color w:val="000000"/>
          <w:sz w:val="24"/>
          <w:szCs w:val="24"/>
          <w:highlight w:val="none"/>
        </w:rPr>
      </w:r>
      <w:r/>
    </w:p>
    <w:p>
      <w:pPr>
        <w:pStyle w:val="1162"/>
        <w:contextualSpacing/>
        <w:ind w:left="-2" w:firstLine="480"/>
        <w:jc w:val="left"/>
        <w:spacing w:line="360" w:lineRule="auto"/>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配合采购人完成相关部门的验收工作，提供必要的技术支持（如现场答疑、补充说明等）。</w:t>
      </w:r>
      <w:r>
        <w:rPr>
          <w:rFonts w:ascii="宋体" w:hAnsi="宋体"/>
          <w:color w:val="000000"/>
          <w:sz w:val="24"/>
          <w:szCs w:val="24"/>
          <w:highlight w:val="none"/>
        </w:rPr>
      </w:r>
      <w:r/>
    </w:p>
    <w:p>
      <w:pPr>
        <w:pStyle w:val="1162"/>
        <w:contextualSpacing/>
        <w:ind w:left="-2" w:firstLine="482"/>
        <w:jc w:val="left"/>
        <w:spacing w:line="360" w:lineRule="auto"/>
        <w:tabs>
          <w:tab w:val="left" w:pos="567" w:leader="none"/>
        </w:tabs>
        <w:rPr>
          <w:rFonts w:ascii="宋体" w:hAnsi="宋体"/>
          <w:b/>
          <w:color w:val="000000"/>
          <w:sz w:val="24"/>
          <w:szCs w:val="24"/>
          <w:highlight w:val="none"/>
        </w:rPr>
      </w:pPr>
      <w:r>
        <w:rPr>
          <w:rFonts w:hint="eastAsia" w:ascii="宋体" w:hAnsi="宋体"/>
          <w:b/>
          <w:color w:val="000000"/>
          <w:sz w:val="24"/>
          <w:szCs w:val="24"/>
          <w:highlight w:val="none"/>
        </w:rPr>
        <w:t xml:space="preserve">七、其他要求</w:t>
      </w:r>
      <w:r>
        <w:rPr>
          <w:rFonts w:ascii="宋体" w:hAnsi="宋体"/>
          <w:b/>
          <w:color w:val="000000"/>
          <w:sz w:val="24"/>
          <w:szCs w:val="24"/>
          <w:highlight w:val="none"/>
        </w:rPr>
      </w:r>
      <w:r/>
    </w:p>
    <w:p>
      <w:pPr>
        <w:pStyle w:val="1162"/>
        <w:contextualSpacing/>
        <w:ind w:left="-2" w:firstLine="480"/>
        <w:jc w:val="left"/>
        <w:spacing w:line="360" w:lineRule="auto"/>
        <w:tabs>
          <w:tab w:val="left" w:pos="567" w:leader="none"/>
        </w:tabs>
        <w:rPr>
          <w:rFonts w:ascii="宋体" w:hAnsi="宋体" w:eastAsia="等线"/>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中标人需遵守项目现场管理规定，做好安全防护措施，避免安全事故；若因自身原因造成的人员、设备或第三方财产损失，由中标人自行承担。</w:t>
      </w:r>
      <w:r>
        <w:rPr>
          <w:rFonts w:ascii="宋体" w:hAnsi="宋体" w:eastAsia="等线"/>
          <w:color w:val="000000"/>
          <w:sz w:val="24"/>
          <w:szCs w:val="24"/>
          <w:highlight w:val="none"/>
        </w:rPr>
      </w:r>
      <w:r/>
    </w:p>
    <w:p>
      <w:pPr>
        <w:pStyle w:val="1162"/>
        <w:contextualSpacing/>
        <w:ind w:left="-2" w:firstLine="480"/>
        <w:jc w:val="left"/>
        <w:spacing w:line="360" w:lineRule="auto"/>
        <w:tabs>
          <w:tab w:val="left" w:pos="567" w:leader="none"/>
        </w:tabs>
        <w:rPr>
          <w:rFonts w:ascii="宋体" w:hAnsi="宋体" w:eastAsia="等线"/>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检测过程中需保护项目现场环境，不得随意破坏复垦地块的土壤结构、植被等。</w:t>
      </w:r>
      <w:r>
        <w:rPr>
          <w:rFonts w:ascii="宋体" w:hAnsi="宋体" w:eastAsia="等线"/>
          <w:color w:val="000000"/>
          <w:sz w:val="24"/>
          <w:szCs w:val="24"/>
          <w:highlight w:val="none"/>
        </w:rPr>
      </w:r>
      <w:r/>
    </w:p>
    <w:p>
      <w:pPr>
        <w:pStyle w:val="1162"/>
        <w:contextualSpacing/>
        <w:ind w:left="-2" w:firstLine="480"/>
        <w:jc w:val="left"/>
        <w:spacing w:line="360" w:lineRule="auto"/>
        <w:tabs>
          <w:tab w:val="left" w:pos="567" w:leader="none"/>
        </w:tabs>
        <w:rPr>
          <w:rFonts w:ascii="宋体" w:hAnsi="宋体" w:eastAsia="等线"/>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中标人需对检测数据及项目相关信息严格保密，不得向第三方泄露，保密期限不少于</w:t>
      </w:r>
      <w:r>
        <w:rPr>
          <w:rFonts w:ascii="宋体" w:hAnsi="宋体"/>
          <w:color w:val="000000"/>
          <w:sz w:val="24"/>
          <w:szCs w:val="24"/>
          <w:highlight w:val="none"/>
        </w:rPr>
        <w:t xml:space="preserve"> 3 </w:t>
      </w:r>
      <w:r>
        <w:rPr>
          <w:rFonts w:hint="eastAsia" w:ascii="宋体" w:hAnsi="宋体"/>
          <w:color w:val="000000"/>
          <w:sz w:val="24"/>
          <w:szCs w:val="24"/>
          <w:highlight w:val="none"/>
        </w:rPr>
        <w:t xml:space="preserve">年。</w:t>
      </w:r>
      <w:r>
        <w:rPr>
          <w:rFonts w:ascii="宋体" w:hAnsi="宋体" w:eastAsia="等线"/>
          <w:color w:val="000000"/>
          <w:sz w:val="24"/>
          <w:szCs w:val="24"/>
          <w:highlight w:val="none"/>
        </w:rPr>
      </w:r>
      <w:r/>
    </w:p>
    <w:p>
      <w:pPr>
        <w:pStyle w:val="1162"/>
        <w:contextualSpacing/>
        <w:ind w:left="-2" w:firstLine="480"/>
        <w:jc w:val="left"/>
        <w:spacing w:line="360" w:lineRule="auto"/>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本采购需求未尽事宜，由双方在合同中进一步明确，中标人需无条件服从采购人的合理安排。</w:t>
      </w:r>
      <w:r>
        <w:rPr>
          <w:rFonts w:ascii="宋体" w:hAnsi="宋体"/>
          <w:color w:val="000000"/>
          <w:sz w:val="24"/>
          <w:szCs w:val="24"/>
          <w:highlight w:val="none"/>
        </w:rPr>
      </w:r>
      <w:r/>
    </w:p>
    <w:p>
      <w:pPr>
        <w:pStyle w:val="1162"/>
        <w:contextualSpacing/>
        <w:ind w:left="-2" w:firstLine="482"/>
        <w:jc w:val="left"/>
        <w:spacing w:line="360" w:lineRule="auto"/>
        <w:tabs>
          <w:tab w:val="left" w:pos="567" w:leader="none"/>
        </w:tabs>
        <w:rPr>
          <w:rFonts w:ascii="宋体" w:hAnsi="宋体"/>
          <w:b/>
          <w:color w:val="000000"/>
          <w:sz w:val="24"/>
          <w:szCs w:val="24"/>
          <w:highlight w:val="none"/>
        </w:rPr>
      </w:pPr>
      <w:r>
        <w:rPr>
          <w:rFonts w:hint="eastAsia" w:ascii="宋体" w:hAnsi="宋体" w:cs="仿宋"/>
          <w:b/>
          <w:bCs/>
          <w:color w:val="000000"/>
          <w:sz w:val="24"/>
          <w:szCs w:val="24"/>
          <w:highlight w:val="none"/>
        </w:rPr>
        <w:t xml:space="preserve">八、</w:t>
      </w:r>
      <w:r>
        <w:rPr>
          <w:rFonts w:hint="eastAsia" w:ascii="宋体" w:hAnsi="宋体"/>
          <w:b/>
          <w:color w:val="000000"/>
          <w:sz w:val="24"/>
          <w:szCs w:val="24"/>
          <w:highlight w:val="none"/>
        </w:rPr>
        <w:t xml:space="preserve">报价方式</w:t>
      </w:r>
      <w:r>
        <w:rPr>
          <w:rFonts w:ascii="宋体" w:hAnsi="宋体"/>
          <w:b/>
          <w:color w:val="000000"/>
          <w:sz w:val="24"/>
          <w:szCs w:val="24"/>
          <w:highlight w:val="none"/>
        </w:rPr>
      </w:r>
      <w:r/>
    </w:p>
    <w:p>
      <w:pPr>
        <w:pStyle w:val="1162"/>
        <w:contextualSpacing/>
        <w:ind w:left="-2" w:firstLine="480"/>
        <w:jc w:val="left"/>
        <w:spacing w:line="360" w:lineRule="auto"/>
        <w:tabs>
          <w:tab w:val="left" w:pos="567"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本项目报价方式为</w:t>
      </w:r>
      <w:r>
        <w:rPr>
          <w:rFonts w:hint="eastAsia" w:ascii="宋体" w:hAnsi="宋体"/>
          <w:b/>
          <w:color w:val="000000"/>
          <w:sz w:val="24"/>
          <w:szCs w:val="24"/>
          <w:highlight w:val="none"/>
          <w:u w:val="single"/>
        </w:rPr>
        <w:t xml:space="preserve">固定单价</w:t>
      </w:r>
      <w:r>
        <w:rPr>
          <w:rFonts w:hint="eastAsia" w:ascii="宋体" w:hAnsi="宋体"/>
          <w:color w:val="000000"/>
          <w:sz w:val="24"/>
          <w:szCs w:val="24"/>
          <w:highlight w:val="none"/>
        </w:rPr>
        <w:t xml:space="preserve">，包括采购文件所确定的采购范围相应服务的提供、人员（包括工资和补贴）、办公场所及设施、机械及仪器费、检测费、保险、劳保、管理、各种税费、利润、税金、政策性文件规定及合同包含的所有风险、责任等各项应有费用，以及为完成该项服务项目所涉及到的一切相关费用，采购人不再支付其他任何。</w:t>
      </w:r>
      <w:r>
        <w:rPr>
          <w:rFonts w:hint="eastAsia" w:ascii="宋体" w:hAnsi="宋体"/>
          <w:color w:val="000000"/>
          <w:sz w:val="24"/>
          <w:szCs w:val="24"/>
          <w:highlight w:val="none"/>
        </w:rPr>
      </w:r>
      <w:r/>
    </w:p>
    <w:p>
      <w:pPr>
        <w:pStyle w:val="1162"/>
        <w:contextualSpacing/>
        <w:ind w:left="-2" w:firstLine="482"/>
        <w:jc w:val="left"/>
        <w:spacing w:line="360" w:lineRule="auto"/>
        <w:tabs>
          <w:tab w:val="left" w:pos="567"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九、付款方式</w:t>
      </w:r>
      <w:r>
        <w:rPr>
          <w:rFonts w:hint="eastAsia" w:ascii="宋体" w:hAnsi="宋体"/>
          <w:b/>
          <w:color w:val="000000"/>
          <w:sz w:val="24"/>
          <w:szCs w:val="24"/>
          <w:highlight w:val="none"/>
        </w:rPr>
      </w:r>
      <w:r/>
    </w:p>
    <w:p>
      <w:pPr>
        <w:pStyle w:val="1162"/>
        <w:contextualSpacing/>
        <w:ind w:left="-2" w:firstLine="482"/>
        <w:jc w:val="left"/>
        <w:spacing w:line="360" w:lineRule="auto"/>
        <w:tabs>
          <w:tab w:val="left" w:pos="567"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结算原则：固定单价，按实际检测点位数量结算，最终结算价不超过合同价（即中标总价）。</w:t>
      </w:r>
      <w:r>
        <w:rPr>
          <w:rFonts w:hint="eastAsia" w:ascii="宋体" w:hAnsi="宋体"/>
          <w:b/>
          <w:color w:val="000000"/>
          <w:sz w:val="24"/>
          <w:szCs w:val="24"/>
          <w:highlight w:val="none"/>
        </w:rPr>
      </w:r>
      <w:r/>
    </w:p>
    <w:p>
      <w:pPr>
        <w:pStyle w:val="1162"/>
        <w:contextualSpacing/>
        <w:ind w:left="-2" w:firstLine="482"/>
        <w:jc w:val="left"/>
        <w:spacing w:line="360" w:lineRule="auto"/>
        <w:tabs>
          <w:tab w:val="left" w:pos="567" w:leader="none"/>
        </w:tabs>
        <w:rPr>
          <w:rFonts w:hint="eastAsia" w:ascii="宋体" w:hAnsi="宋体"/>
          <w:b/>
          <w:color w:val="000000"/>
          <w:sz w:val="24"/>
          <w:szCs w:val="24"/>
          <w:highlight w:val="none"/>
        </w:rPr>
      </w:pPr>
      <w:r>
        <w:rPr>
          <w:rFonts w:hint="eastAsia" w:ascii="宋体" w:hAnsi="宋体" w:cs="宋体"/>
          <w:b/>
          <w:color w:val="000000"/>
          <w:sz w:val="24"/>
          <w:szCs w:val="24"/>
          <w:highlight w:val="none"/>
        </w:rPr>
        <w:t xml:space="preserve">中标人提交符合要求的全部检测成果报告后支付合同款的50%，第二年年底支付合同款的30%，剩余款项待第三年年底结清(无息)。</w:t>
      </w:r>
      <w:r>
        <w:rPr>
          <w:rFonts w:hint="eastAsia" w:ascii="宋体" w:hAnsi="宋体"/>
          <w:b/>
          <w:color w:val="000000"/>
          <w:sz w:val="24"/>
          <w:szCs w:val="24"/>
          <w:highlight w:val="none"/>
        </w:rPr>
      </w:r>
      <w:r/>
    </w:p>
    <w:p>
      <w:pPr>
        <w:pStyle w:val="1068"/>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68"/>
        <w:jc w:val="center"/>
        <w:spacing w:line="360" w:lineRule="auto"/>
        <w:rPr>
          <w:rFonts w:ascii="宋体" w:hAnsi="宋体"/>
          <w:b/>
          <w:color w:val="000000"/>
          <w:sz w:val="36"/>
          <w:szCs w:val="36"/>
          <w:highlight w:val="none"/>
        </w:rPr>
        <w:outlineLvl w:val="0"/>
      </w:pPr>
      <w:r/>
      <w:bookmarkStart w:id="815" w:name="_Toc99301425"/>
      <w:r>
        <w:rPr>
          <w:rFonts w:ascii="宋体" w:hAnsi="宋体"/>
          <w:b/>
          <w:color w:val="000000"/>
          <w:sz w:val="36"/>
          <w:szCs w:val="36"/>
          <w:highlight w:val="none"/>
        </w:rPr>
        <w:t xml:space="preserve">第六章   拟签订的合同文本</w:t>
      </w:r>
      <w:bookmarkEnd w:id="815"/>
      <w:r>
        <w:rPr>
          <w:rFonts w:ascii="宋体" w:hAnsi="宋体"/>
          <w:b/>
          <w:color w:val="000000"/>
          <w:sz w:val="36"/>
          <w:szCs w:val="36"/>
          <w:highlight w:val="none"/>
        </w:rPr>
      </w:r>
      <w:r/>
    </w:p>
    <w:p>
      <w:pPr>
        <w:pStyle w:val="1107"/>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07"/>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投标人（</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2"/>
        <w:ind w:firstLine="552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07"/>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07"/>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p>
      <w:pPr>
        <w:pStyle w:val="1068"/>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乙方根据甲方需求提供</w:t>
      </w:r>
      <w:r>
        <w:rPr>
          <w:rFonts w:hint="eastAsia" w:ascii="宋体" w:hAnsi="宋体"/>
          <w:color w:val="000000"/>
          <w:sz w:val="24"/>
          <w:highlight w:val="none"/>
        </w:rPr>
        <w:t xml:space="preserve">前黄镇2025年土地复垦项目土壤压实承载力检测</w:t>
      </w:r>
      <w:r>
        <w:rPr>
          <w:rFonts w:hint="eastAsia" w:ascii="宋体" w:hAnsi="宋体" w:cs="宋体"/>
          <w:color w:val="000000"/>
          <w:sz w:val="24"/>
          <w:highlight w:val="none"/>
          <w:lang w:val="zh-CN"/>
        </w:rPr>
        <w:t xml:space="preserve">服务，</w:t>
      </w:r>
      <w:r>
        <w:rPr>
          <w:rFonts w:hint="eastAsia" w:ascii="宋体" w:hAnsi="宋体" w:cs="宋体"/>
          <w:color w:val="000000"/>
          <w:sz w:val="24"/>
          <w:highlight w:val="none"/>
        </w:rPr>
        <w:t xml:space="preserve">系指根据合同规定乙方须承担与服务有关的所有辅助服务</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06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1、检测内容：</w:t>
      </w:r>
      <w:r>
        <w:rPr>
          <w:rFonts w:hint="eastAsia" w:ascii="宋体" w:hAnsi="宋体" w:cs="宋体"/>
          <w:color w:val="000000"/>
          <w:sz w:val="24"/>
          <w:highlight w:val="none"/>
        </w:rPr>
      </w:r>
      <w:r/>
    </w:p>
    <w:p>
      <w:pPr>
        <w:pStyle w:val="1162"/>
        <w:contextualSpacing/>
        <w:ind w:left="-2" w:firstLine="480"/>
        <w:jc w:val="left"/>
        <w:spacing w:line="360" w:lineRule="auto"/>
        <w:tabs>
          <w:tab w:val="left" w:pos="567" w:leader="none"/>
        </w:tabs>
        <w:rPr>
          <w:rFonts w:ascii="宋体" w:hAnsi="宋体" w:eastAsia="等线"/>
          <w:color w:val="000000"/>
          <w:sz w:val="24"/>
          <w:szCs w:val="24"/>
          <w:highlight w:val="none"/>
        </w:rPr>
      </w:pPr>
      <w:r>
        <w:rPr>
          <w:rFonts w:hint="eastAsia" w:ascii="宋体" w:hAnsi="宋体"/>
          <w:color w:val="000000"/>
          <w:sz w:val="24"/>
          <w:szCs w:val="24"/>
          <w:highlight w:val="none"/>
        </w:rPr>
        <w:t xml:space="preserve">检测范围：复垦地块全部压实区域，总面积约</w:t>
      </w:r>
      <w:r>
        <w:rPr>
          <w:rFonts w:ascii="宋体" w:hAnsi="宋体"/>
          <w:color w:val="000000"/>
          <w:sz w:val="24"/>
          <w:szCs w:val="24"/>
          <w:highlight w:val="none"/>
        </w:rPr>
        <w:t xml:space="preserve">2500</w:t>
      </w:r>
      <w:r>
        <w:rPr>
          <w:rFonts w:hint="eastAsia" w:ascii="宋体" w:hAnsi="宋体"/>
          <w:color w:val="000000"/>
          <w:sz w:val="24"/>
          <w:szCs w:val="24"/>
          <w:highlight w:val="none"/>
        </w:rPr>
        <w:t xml:space="preserve">亩，具体检测区域以采购人指定为准，需覆盖不同压实分区、不同土层深度（表层</w:t>
      </w:r>
      <w:r>
        <w:rPr>
          <w:rFonts w:ascii="宋体" w:hAnsi="宋体"/>
          <w:color w:val="000000"/>
          <w:sz w:val="24"/>
          <w:szCs w:val="24"/>
          <w:highlight w:val="none"/>
        </w:rPr>
        <w:t xml:space="preserve"> 0-30cm</w:t>
      </w:r>
      <w:r>
        <w:rPr>
          <w:rFonts w:hint="eastAsia" w:ascii="宋体" w:hAnsi="宋体"/>
          <w:color w:val="000000"/>
          <w:sz w:val="24"/>
          <w:szCs w:val="24"/>
          <w:highlight w:val="none"/>
        </w:rPr>
        <w:t xml:space="preserve">、中层</w:t>
      </w:r>
      <w:r>
        <w:rPr>
          <w:rFonts w:ascii="宋体" w:hAnsi="宋体"/>
          <w:color w:val="000000"/>
          <w:sz w:val="24"/>
          <w:szCs w:val="24"/>
          <w:highlight w:val="none"/>
        </w:rPr>
        <w:t xml:space="preserve">30-60cm</w:t>
      </w:r>
      <w:r>
        <w:rPr>
          <w:rFonts w:hint="eastAsia" w:ascii="宋体" w:hAnsi="宋体"/>
          <w:color w:val="000000"/>
          <w:sz w:val="24"/>
          <w:szCs w:val="24"/>
          <w:highlight w:val="none"/>
        </w:rPr>
        <w:t xml:space="preserve">、深层</w:t>
      </w:r>
      <w:r>
        <w:rPr>
          <w:rFonts w:ascii="宋体" w:hAnsi="宋体"/>
          <w:color w:val="000000"/>
          <w:sz w:val="24"/>
          <w:szCs w:val="24"/>
          <w:highlight w:val="none"/>
        </w:rPr>
        <w:t xml:space="preserve"> 60-100cm</w:t>
      </w:r>
      <w:r>
        <w:rPr>
          <w:rFonts w:hint="eastAsia" w:ascii="宋体" w:hAnsi="宋体"/>
          <w:color w:val="000000"/>
          <w:sz w:val="24"/>
          <w:szCs w:val="24"/>
          <w:highlight w:val="none"/>
        </w:rPr>
        <w:t xml:space="preserve">）。</w:t>
      </w:r>
      <w:r>
        <w:rPr>
          <w:rFonts w:ascii="宋体" w:hAnsi="宋体" w:eastAsia="等线"/>
          <w:color w:val="000000"/>
          <w:sz w:val="24"/>
          <w:szCs w:val="24"/>
          <w:highlight w:val="none"/>
        </w:rPr>
      </w:r>
      <w:r/>
    </w:p>
    <w:p>
      <w:pPr>
        <w:pStyle w:val="1162"/>
        <w:contextualSpacing/>
        <w:ind w:left="-2" w:firstLine="480"/>
        <w:jc w:val="left"/>
        <w:spacing w:line="360" w:lineRule="auto"/>
        <w:tabs>
          <w:tab w:val="left" w:pos="567" w:leader="none"/>
        </w:tabs>
        <w:rPr>
          <w:rFonts w:ascii="宋体" w:hAnsi="宋体" w:eastAsia="等线"/>
          <w:color w:val="000000"/>
          <w:sz w:val="24"/>
          <w:szCs w:val="24"/>
          <w:highlight w:val="none"/>
        </w:rPr>
      </w:pPr>
      <w:r>
        <w:rPr>
          <w:rFonts w:hint="eastAsia" w:ascii="宋体" w:hAnsi="宋体"/>
          <w:color w:val="000000"/>
          <w:sz w:val="24"/>
          <w:szCs w:val="24"/>
          <w:highlight w:val="none"/>
        </w:rPr>
        <w:t xml:space="preserve">检测指标：核心检测指标为土壤压实承载力（地基承载力特征值</w:t>
      </w:r>
      <w:r>
        <w:rPr>
          <w:rFonts w:ascii="宋体" w:hAnsi="宋体"/>
          <w:color w:val="000000"/>
          <w:sz w:val="24"/>
          <w:szCs w:val="24"/>
          <w:highlight w:val="none"/>
        </w:rPr>
        <w:t xml:space="preserve"> fak</w:t>
      </w:r>
      <w:r>
        <w:rPr>
          <w:rFonts w:hint="eastAsia" w:ascii="宋体" w:hAnsi="宋体"/>
          <w:color w:val="000000"/>
          <w:sz w:val="24"/>
          <w:szCs w:val="24"/>
          <w:highlight w:val="none"/>
        </w:rPr>
        <w:t xml:space="preserve">）。</w:t>
      </w:r>
      <w:r>
        <w:rPr>
          <w:rFonts w:ascii="宋体" w:hAnsi="宋体" w:eastAsia="等线"/>
          <w:color w:val="000000"/>
          <w:sz w:val="24"/>
          <w:szCs w:val="24"/>
          <w:highlight w:val="none"/>
        </w:rPr>
      </w:r>
      <w:r/>
    </w:p>
    <w:p>
      <w:pPr>
        <w:pStyle w:val="1162"/>
        <w:contextualSpacing/>
        <w:ind w:left="-2" w:firstLine="480"/>
        <w:jc w:val="left"/>
        <w:spacing w:line="360" w:lineRule="auto"/>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检测数量：</w:t>
      </w:r>
      <w:r>
        <w:rPr>
          <w:rFonts w:ascii="宋体" w:hAnsi="宋体"/>
          <w:color w:val="000000"/>
          <w:sz w:val="24"/>
          <w:szCs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3054"/>
        <w:gridCol w:w="3089"/>
        <w:gridCol w:w="3145"/>
      </w:tblGrid>
      <w:tr>
        <w:trPr>
          <w:trHeight w:val="170"/>
        </w:trPr>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68"/>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检测类型</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068"/>
              <w:jc w:val="center"/>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部位</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068"/>
              <w:jc w:val="center"/>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工程量（点）</w:t>
            </w:r>
            <w:r>
              <w:rPr>
                <w:rFonts w:hint="eastAsia" w:ascii="宋体" w:hAnsi="宋体" w:cs="宋体"/>
                <w:color w:val="000000"/>
                <w:sz w:val="24"/>
                <w:highlight w:val="none"/>
              </w:rPr>
            </w:r>
            <w:r/>
          </w:p>
        </w:tc>
      </w:tr>
      <w:tr>
        <w:trPr>
          <w:trHeight w:val="170"/>
        </w:trPr>
        <w:tc>
          <w:tcPr>
            <w:tcBorders>
              <w:top w:val="single" w:color="000000" w:sz="4" w:space="0"/>
              <w:left w:val="single" w:color="000000" w:sz="4" w:space="0"/>
              <w:bottom w:val="single" w:color="000000" w:sz="4" w:space="0"/>
              <w:right w:val="single" w:color="000000" w:sz="4" w:space="0"/>
            </w:tcBorders>
            <w:tcW w:w="1644" w:type="dxa"/>
            <w:vAlign w:val="center"/>
            <w:vMerge w:val="restart"/>
            <w:textDirection w:val="lrTb"/>
            <w:noWrap w:val="false"/>
          </w:tcPr>
          <w:p>
            <w:pPr>
              <w:pStyle w:val="1068"/>
              <w:jc w:val="center"/>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浅层平板载荷试验</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068"/>
              <w:jc w:val="center"/>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第一层</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068"/>
              <w:jc w:val="center"/>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500</w:t>
            </w:r>
            <w:r>
              <w:rPr>
                <w:rFonts w:hint="eastAsia" w:ascii="宋体" w:hAnsi="宋体" w:cs="宋体"/>
                <w:color w:val="000000"/>
                <w:sz w:val="24"/>
                <w:highlight w:val="none"/>
              </w:rPr>
            </w:r>
            <w:r/>
          </w:p>
        </w:tc>
      </w:tr>
      <w:tr>
        <w:trPr>
          <w:trHeight w:val="170"/>
        </w:trPr>
        <w:tc>
          <w:tcPr>
            <w:tcBorders>
              <w:top w:val="single" w:color="000000" w:sz="4" w:space="0"/>
              <w:left w:val="single" w:color="000000" w:sz="4" w:space="0"/>
              <w:bottom w:val="single" w:color="000000" w:sz="4" w:space="0"/>
              <w:right w:val="single" w:color="000000" w:sz="4" w:space="0"/>
            </w:tcBorders>
            <w:tcW w:w="1644" w:type="dxa"/>
            <w:vAlign w:val="center"/>
            <w:vMerge w:val="continue"/>
            <w:textDirection w:val="lrTb"/>
            <w:noWrap w:val="false"/>
          </w:tcPr>
          <w:p>
            <w:pPr>
              <w:pStyle w:val="1068"/>
              <w:jc w:val="left"/>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068"/>
              <w:jc w:val="center"/>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第二层</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068"/>
              <w:jc w:val="center"/>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150</w:t>
            </w:r>
            <w:r>
              <w:rPr>
                <w:rFonts w:hint="eastAsia" w:ascii="宋体" w:hAnsi="宋体" w:cs="宋体"/>
                <w:color w:val="000000"/>
                <w:sz w:val="24"/>
                <w:highlight w:val="none"/>
              </w:rPr>
            </w:r>
            <w:r/>
          </w:p>
        </w:tc>
      </w:tr>
      <w:tr>
        <w:trPr>
          <w:trHeight w:val="170"/>
        </w:trPr>
        <w:tc>
          <w:tcPr>
            <w:tcBorders>
              <w:top w:val="single" w:color="000000" w:sz="4" w:space="0"/>
              <w:left w:val="single" w:color="000000" w:sz="4" w:space="0"/>
              <w:bottom w:val="single" w:color="000000" w:sz="4" w:space="0"/>
              <w:right w:val="single" w:color="000000" w:sz="4" w:space="0"/>
            </w:tcBorders>
            <w:tcW w:w="1644" w:type="dxa"/>
            <w:vAlign w:val="center"/>
            <w:vMerge w:val="continue"/>
            <w:textDirection w:val="lrTb"/>
            <w:noWrap w:val="false"/>
          </w:tcPr>
          <w:p>
            <w:pPr>
              <w:pStyle w:val="1068"/>
              <w:jc w:val="left"/>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068"/>
              <w:jc w:val="center"/>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第三层</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068"/>
              <w:jc w:val="center"/>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150</w:t>
            </w:r>
            <w:r>
              <w:rPr>
                <w:rFonts w:hint="eastAsia" w:ascii="宋体" w:hAnsi="宋体" w:cs="宋体"/>
                <w:color w:val="000000"/>
                <w:sz w:val="24"/>
                <w:highlight w:val="none"/>
              </w:rPr>
            </w:r>
            <w:r/>
          </w:p>
        </w:tc>
      </w:tr>
    </w:tbl>
    <w:p>
      <w:pPr>
        <w:pStyle w:val="1068"/>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每个检测点需在不同土层深度采集样本，进行原位测试，且需均匀分布于复垦地块，重点覆盖压实薄弱区域（如地块边缘、低洼处）。</w:t>
      </w:r>
      <w:r>
        <w:rPr>
          <w:rFonts w:hint="eastAsia" w:ascii="宋体" w:hAnsi="宋体"/>
          <w:color w:val="000000"/>
          <w:sz w:val="24"/>
          <w:highlight w:val="none"/>
        </w:rPr>
      </w:r>
      <w:r/>
    </w:p>
    <w:p>
      <w:pPr>
        <w:pStyle w:val="1162"/>
        <w:contextualSpacing/>
        <w:ind w:left="-2" w:firstLine="482"/>
        <w:jc w:val="left"/>
        <w:spacing w:line="360" w:lineRule="auto"/>
        <w:tabs>
          <w:tab w:val="left" w:pos="567"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2、成果要求</w:t>
      </w:r>
      <w:r>
        <w:rPr>
          <w:rFonts w:hint="eastAsia" w:ascii="宋体" w:hAnsi="宋体"/>
          <w:b/>
          <w:color w:val="000000"/>
          <w:sz w:val="24"/>
          <w:szCs w:val="24"/>
          <w:highlight w:val="none"/>
        </w:rPr>
      </w:r>
      <w:r/>
    </w:p>
    <w:p>
      <w:pPr>
        <w:pStyle w:val="1162"/>
        <w:contextualSpacing/>
        <w:ind w:left="-2" w:firstLine="480"/>
        <w:jc w:val="left"/>
        <w:spacing w:line="360" w:lineRule="auto"/>
        <w:tabs>
          <w:tab w:val="left" w:pos="567" w:leader="none"/>
        </w:tabs>
        <w:rPr>
          <w:rFonts w:ascii="宋体" w:hAnsi="宋体" w:eastAsia="等线"/>
          <w:color w:val="000000"/>
          <w:sz w:val="24"/>
          <w:szCs w:val="24"/>
          <w:highlight w:val="none"/>
        </w:rPr>
      </w:pPr>
      <w:r>
        <w:rPr>
          <w:rFonts w:hint="eastAsia" w:ascii="宋体" w:hAnsi="宋体"/>
          <w:color w:val="000000"/>
          <w:sz w:val="24"/>
          <w:szCs w:val="24"/>
          <w:highlight w:val="none"/>
        </w:rPr>
        <w:t xml:space="preserve">1）交付内容：根据采购人要求提供检测报告及电子版。检测报告应包含但不限于：项目概况、检测依据、检测方案、检测数据、数据分析、检测结果、结论与建议、附件（校准证书复印件、现场记录、实验室原始数据等）。额外提供检测点分布图、数据汇总表（</w:t>
      </w:r>
      <w:r>
        <w:rPr>
          <w:rFonts w:ascii="宋体" w:hAnsi="宋体"/>
          <w:color w:val="000000"/>
          <w:sz w:val="24"/>
          <w:szCs w:val="24"/>
          <w:highlight w:val="none"/>
        </w:rPr>
        <w:t xml:space="preserve">Excel </w:t>
      </w:r>
      <w:r>
        <w:rPr>
          <w:rFonts w:hint="eastAsia" w:ascii="宋体" w:hAnsi="宋体"/>
          <w:color w:val="000000"/>
          <w:sz w:val="24"/>
          <w:szCs w:val="24"/>
          <w:highlight w:val="none"/>
        </w:rPr>
        <w:t xml:space="preserve">格式）。</w:t>
      </w:r>
      <w:r>
        <w:rPr>
          <w:rFonts w:ascii="宋体" w:hAnsi="宋体" w:eastAsia="等线"/>
          <w:color w:val="000000"/>
          <w:sz w:val="24"/>
          <w:szCs w:val="24"/>
          <w:highlight w:val="none"/>
        </w:rPr>
      </w:r>
      <w:r/>
    </w:p>
    <w:p>
      <w:pPr>
        <w:pStyle w:val="1162"/>
        <w:contextualSpacing/>
        <w:ind w:left="-2" w:firstLine="480"/>
        <w:jc w:val="left"/>
        <w:spacing w:line="360" w:lineRule="auto"/>
        <w:tabs>
          <w:tab w:val="left" w:pos="567" w:leader="none"/>
        </w:tabs>
        <w:rPr>
          <w:rFonts w:ascii="宋体" w:hAnsi="宋体" w:eastAsia="等线"/>
          <w:color w:val="000000"/>
          <w:sz w:val="24"/>
          <w:szCs w:val="24"/>
          <w:highlight w:val="none"/>
        </w:rPr>
      </w:pPr>
      <w:r>
        <w:rPr>
          <w:rFonts w:hint="eastAsia" w:ascii="宋体" w:hAnsi="宋体"/>
          <w:color w:val="000000"/>
          <w:sz w:val="24"/>
          <w:szCs w:val="24"/>
          <w:highlight w:val="none"/>
        </w:rPr>
        <w:t xml:space="preserve">2）交付时间：全部检测工作完成后</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个工作日内提交检测报告初稿，经采购人审核提出修改意见后，</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个工作日内完成修改并提交终稿。</w:t>
      </w:r>
      <w:r>
        <w:rPr>
          <w:rFonts w:ascii="宋体" w:hAnsi="宋体" w:eastAsia="等线"/>
          <w:color w:val="000000"/>
          <w:sz w:val="24"/>
          <w:szCs w:val="24"/>
          <w:highlight w:val="none"/>
        </w:rPr>
      </w:r>
      <w:r/>
    </w:p>
    <w:p>
      <w:pPr>
        <w:pStyle w:val="1068"/>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3）成果质量：检测报告需数据真实、逻辑清晰、结论明确，符合相关标准及项目要求，若因报告质量问题导致采购人损失，由中标人承担相应责任。</w:t>
      </w:r>
      <w:r>
        <w:rPr>
          <w:rFonts w:ascii="宋体" w:hAnsi="宋体"/>
          <w:color w:val="000000"/>
          <w:sz w:val="24"/>
          <w:highlight w:val="none"/>
        </w:rPr>
      </w:r>
      <w:r/>
    </w:p>
    <w:p>
      <w:pPr>
        <w:pStyle w:val="1107"/>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07"/>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签约合同暂估价（人民币）：</w:t>
      </w:r>
      <w:r>
        <w:rPr>
          <w:rFonts w:hAnsi="宋体" w:cs="宋体"/>
          <w:b/>
          <w:color w:val="000000"/>
          <w:sz w:val="24"/>
          <w:szCs w:val="24"/>
          <w:highlight w:val="none"/>
          <w:u w:val="single"/>
        </w:rPr>
        <w:t xml:space="preserve">             元</w:t>
      </w:r>
      <w:r>
        <w:rPr>
          <w:rFonts w:hAnsi="宋体" w:cs="宋体"/>
          <w:b/>
          <w:color w:val="000000"/>
          <w:sz w:val="24"/>
          <w:szCs w:val="24"/>
          <w:highlight w:val="none"/>
        </w:rPr>
        <w:t xml:space="preserve">（小写       ）。</w:t>
      </w:r>
      <w:r>
        <w:rPr>
          <w:rFonts w:hAnsi="宋体" w:cs="宋体"/>
          <w:b/>
          <w:color w:val="000000"/>
          <w:sz w:val="24"/>
          <w:szCs w:val="24"/>
          <w:highlight w:val="none"/>
        </w:rPr>
      </w:r>
      <w:r/>
    </w:p>
    <w:p>
      <w:pPr>
        <w:pStyle w:val="1107"/>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签约合同单价：</w:t>
      </w:r>
      <w:r>
        <w:rPr>
          <w:rFonts w:hAnsi="宋体" w:cs="宋体"/>
          <w:b/>
          <w:color w:val="000000"/>
          <w:sz w:val="24"/>
          <w:szCs w:val="24"/>
          <w:highlight w:val="none"/>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2391"/>
        <w:gridCol w:w="1559"/>
        <w:gridCol w:w="1938"/>
        <w:gridCol w:w="919"/>
        <w:gridCol w:w="1072"/>
      </w:tblGrid>
      <w:tr>
        <w:trPr>
          <w:cantSplit/>
          <w:trHeight w:val="285"/>
        </w:trPr>
        <w:tc>
          <w:tcPr>
            <w:tcW w:w="771" w:type="dxa"/>
            <w:vAlign w:val="center"/>
            <w:vMerge w:val="restart"/>
            <w:textDirection w:val="lrTb"/>
            <w:noWrap w:val="false"/>
          </w:tcPr>
          <w:p>
            <w:pPr>
              <w:pStyle w:val="106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2391" w:type="dxa"/>
            <w:vAlign w:val="center"/>
            <w:vMerge w:val="restart"/>
            <w:textDirection w:val="lrTb"/>
            <w:noWrap w:val="false"/>
          </w:tcPr>
          <w:p>
            <w:pPr>
              <w:pStyle w:val="106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检测项目</w:t>
            </w:r>
            <w:r>
              <w:rPr>
                <w:rFonts w:ascii="宋体" w:hAnsi="宋体" w:cs="Arial"/>
                <w:color w:val="000000"/>
                <w:sz w:val="24"/>
                <w:highlight w:val="none"/>
              </w:rPr>
            </w:r>
            <w:r/>
          </w:p>
        </w:tc>
        <w:tc>
          <w:tcPr>
            <w:tcW w:w="1559" w:type="dxa"/>
            <w:vAlign w:val="center"/>
            <w:vMerge w:val="restart"/>
            <w:textDirection w:val="lrTb"/>
            <w:noWrap w:val="false"/>
          </w:tcPr>
          <w:p>
            <w:pPr>
              <w:pStyle w:val="106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检查部位</w:t>
            </w:r>
            <w:r>
              <w:rPr>
                <w:rFonts w:ascii="宋体" w:hAnsi="宋体" w:cs="Arial"/>
                <w:color w:val="000000"/>
                <w:sz w:val="24"/>
                <w:highlight w:val="none"/>
              </w:rPr>
            </w:r>
            <w:r/>
          </w:p>
        </w:tc>
        <w:tc>
          <w:tcPr>
            <w:tcW w:w="1938" w:type="dxa"/>
            <w:vAlign w:val="center"/>
            <w:vMerge w:val="restart"/>
            <w:textDirection w:val="lrTb"/>
            <w:noWrap w:val="false"/>
          </w:tcPr>
          <w:p>
            <w:pPr>
              <w:pStyle w:val="1068"/>
              <w:jc w:val="center"/>
              <w:spacing w:line="360" w:lineRule="auto"/>
              <w:widowControl/>
              <w:rPr>
                <w:rFonts w:ascii="宋体" w:hAnsi="宋体" w:cs="Arial"/>
                <w:color w:val="000000"/>
                <w:sz w:val="24"/>
                <w:highlight w:val="none"/>
              </w:rPr>
            </w:pPr>
            <w:r>
              <w:rPr>
                <w:rFonts w:hint="eastAsia" w:ascii="宋体" w:hAnsi="宋体" w:cs="宋体"/>
                <w:color w:val="000000"/>
                <w:sz w:val="24"/>
                <w:highlight w:val="none"/>
              </w:rPr>
              <w:t xml:space="preserve">工程量（点）</w:t>
            </w:r>
            <w:r>
              <w:rPr>
                <w:rFonts w:ascii="宋体" w:hAnsi="宋体" w:cs="Arial"/>
                <w:color w:val="000000"/>
                <w:sz w:val="24"/>
                <w:highlight w:val="none"/>
              </w:rPr>
            </w:r>
            <w:r/>
          </w:p>
        </w:tc>
        <w:tc>
          <w:tcPr>
            <w:gridSpan w:val="2"/>
            <w:tcW w:w="1991" w:type="dxa"/>
            <w:vAlign w:val="center"/>
            <w:textDirection w:val="lrTb"/>
            <w:noWrap w:val="false"/>
          </w:tcPr>
          <w:p>
            <w:pPr>
              <w:pStyle w:val="106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中标价格</w:t>
            </w:r>
            <w:r>
              <w:rPr>
                <w:rFonts w:ascii="宋体" w:hAnsi="宋体" w:cs="Arial"/>
                <w:color w:val="000000"/>
                <w:sz w:val="24"/>
                <w:highlight w:val="none"/>
              </w:rPr>
            </w:r>
            <w:r/>
          </w:p>
        </w:tc>
      </w:tr>
      <w:tr>
        <w:trPr>
          <w:cantSplit/>
          <w:trHeight w:val="285"/>
        </w:trPr>
        <w:tc>
          <w:tcPr>
            <w:tcW w:w="771" w:type="dxa"/>
            <w:vAlign w:val="center"/>
            <w:vMerge w:val="continue"/>
            <w:textDirection w:val="lrTb"/>
            <w:noWrap w:val="false"/>
          </w:tcPr>
          <w:p>
            <w:pPr>
              <w:pStyle w:val="1068"/>
              <w:jc w:val="left"/>
              <w:widowControl/>
              <w:rPr>
                <w:rFonts w:ascii="宋体" w:hAnsi="宋体" w:cs="Arial"/>
                <w:color w:val="000000"/>
                <w:sz w:val="24"/>
                <w:highlight w:val="none"/>
              </w:rPr>
            </w:pPr>
            <w:r>
              <w:rPr>
                <w:rFonts w:ascii="宋体" w:hAnsi="宋体" w:cs="Arial"/>
                <w:color w:val="000000"/>
                <w:sz w:val="24"/>
                <w:highlight w:val="none"/>
              </w:rPr>
            </w:r>
            <w:r/>
          </w:p>
        </w:tc>
        <w:tc>
          <w:tcPr>
            <w:tcW w:w="2391" w:type="dxa"/>
            <w:vAlign w:val="center"/>
            <w:vMerge w:val="continue"/>
            <w:textDirection w:val="lrTb"/>
            <w:noWrap w:val="false"/>
          </w:tcPr>
          <w:p>
            <w:pPr>
              <w:pStyle w:val="1068"/>
              <w:jc w:val="left"/>
              <w:widowControl/>
              <w:rPr>
                <w:rFonts w:ascii="宋体" w:hAnsi="宋体" w:cs="Arial"/>
                <w:color w:val="000000"/>
                <w:sz w:val="24"/>
                <w:highlight w:val="none"/>
              </w:rPr>
            </w:pPr>
            <w:r>
              <w:rPr>
                <w:rFonts w:ascii="宋体" w:hAnsi="宋体" w:cs="Arial"/>
                <w:color w:val="000000"/>
                <w:sz w:val="24"/>
                <w:highlight w:val="none"/>
              </w:rPr>
            </w:r>
            <w:r/>
          </w:p>
        </w:tc>
        <w:tc>
          <w:tcPr>
            <w:tcW w:w="1559" w:type="dxa"/>
            <w:vAlign w:val="center"/>
            <w:vMerge w:val="continue"/>
            <w:textDirection w:val="lrTb"/>
            <w:noWrap w:val="false"/>
          </w:tcPr>
          <w:p>
            <w:pPr>
              <w:pStyle w:val="1068"/>
              <w:jc w:val="left"/>
              <w:widowControl/>
              <w:rPr>
                <w:rFonts w:ascii="宋体" w:hAnsi="宋体" w:cs="Arial"/>
                <w:color w:val="000000"/>
                <w:sz w:val="24"/>
                <w:highlight w:val="none"/>
              </w:rPr>
            </w:pPr>
            <w:r>
              <w:rPr>
                <w:rFonts w:ascii="宋体" w:hAnsi="宋体" w:cs="Arial"/>
                <w:color w:val="000000"/>
                <w:sz w:val="24"/>
                <w:highlight w:val="none"/>
              </w:rPr>
            </w:r>
            <w:r/>
          </w:p>
        </w:tc>
        <w:tc>
          <w:tcPr>
            <w:tcW w:w="1938" w:type="dxa"/>
            <w:vAlign w:val="center"/>
            <w:vMerge w:val="continue"/>
            <w:textDirection w:val="lrTb"/>
            <w:noWrap w:val="false"/>
          </w:tcPr>
          <w:p>
            <w:pPr>
              <w:pStyle w:val="1068"/>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6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6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771" w:type="dxa"/>
            <w:vAlign w:val="center"/>
            <w:vMerge w:val="restart"/>
            <w:textDirection w:val="lrTb"/>
            <w:noWrap w:val="false"/>
          </w:tcPr>
          <w:p>
            <w:pPr>
              <w:pStyle w:val="106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2391" w:type="dxa"/>
            <w:vAlign w:val="center"/>
            <w:vMerge w:val="restart"/>
            <w:textDirection w:val="lrTb"/>
            <w:noWrap w:val="false"/>
          </w:tcPr>
          <w:p>
            <w:pPr>
              <w:pStyle w:val="1068"/>
              <w:jc w:val="center"/>
              <w:spacing w:line="360" w:lineRule="exact"/>
              <w:widowControl/>
              <w:rPr>
                <w:rFonts w:ascii="宋体" w:hAnsi="宋体" w:cs="Arial"/>
                <w:b/>
                <w:bCs/>
                <w:color w:val="000000"/>
                <w:sz w:val="24"/>
                <w:highlight w:val="none"/>
              </w:rPr>
            </w:pPr>
            <w:r>
              <w:rPr>
                <w:rFonts w:hint="eastAsia" w:ascii="宋体" w:hAnsi="宋体" w:cs="宋体"/>
                <w:color w:val="000000"/>
                <w:sz w:val="24"/>
                <w:highlight w:val="none"/>
              </w:rPr>
              <w:t xml:space="preserve">浅层平板载荷试验</w:t>
            </w:r>
            <w:r>
              <w:rPr>
                <w:rFonts w:ascii="宋体" w:hAnsi="宋体" w:cs="Arial"/>
                <w:b/>
                <w:bCs/>
                <w:color w:val="000000"/>
                <w:sz w:val="24"/>
                <w:highlight w:val="none"/>
              </w:rPr>
            </w:r>
            <w:r/>
          </w:p>
        </w:tc>
        <w:tc>
          <w:tcPr>
            <w:tcW w:w="1559" w:type="dxa"/>
            <w:vAlign w:val="center"/>
            <w:textDirection w:val="lrTb"/>
            <w:noWrap w:val="false"/>
          </w:tcPr>
          <w:p>
            <w:pPr>
              <w:pStyle w:val="1068"/>
              <w:jc w:val="center"/>
              <w:spacing w:line="360" w:lineRule="auto"/>
              <w:widowControl/>
              <w:rPr>
                <w:rFonts w:hint="eastAsia" w:ascii="宋体" w:hAnsi="宋体" w:cs="Arial"/>
                <w:color w:val="000000"/>
                <w:sz w:val="24"/>
                <w:highlight w:val="none"/>
              </w:rPr>
            </w:pPr>
            <w:r>
              <w:rPr>
                <w:rFonts w:hint="eastAsia" w:ascii="宋体" w:hAnsi="宋体" w:cs="宋体"/>
                <w:color w:val="000000"/>
                <w:sz w:val="24"/>
                <w:highlight w:val="none"/>
              </w:rPr>
              <w:t xml:space="preserve">第一层</w:t>
            </w:r>
            <w:r>
              <w:rPr>
                <w:rFonts w:hint="eastAsia" w:ascii="宋体" w:hAnsi="宋体" w:cs="Arial"/>
                <w:color w:val="000000"/>
                <w:sz w:val="24"/>
                <w:highlight w:val="none"/>
              </w:rPr>
            </w:r>
            <w:r/>
          </w:p>
        </w:tc>
        <w:tc>
          <w:tcPr>
            <w:tcW w:w="1938" w:type="dxa"/>
            <w:vAlign w:val="center"/>
            <w:textDirection w:val="lrTb"/>
            <w:noWrap w:val="false"/>
          </w:tcPr>
          <w:p>
            <w:pPr>
              <w:pStyle w:val="1068"/>
              <w:jc w:val="center"/>
              <w:spacing w:line="360" w:lineRule="auto"/>
              <w:widowControl/>
              <w:rPr>
                <w:rFonts w:ascii="宋体" w:hAnsi="宋体" w:cs="Arial"/>
                <w:color w:val="000000"/>
                <w:sz w:val="24"/>
                <w:highlight w:val="none"/>
              </w:rPr>
            </w:pPr>
            <w:r>
              <w:rPr>
                <w:rFonts w:hint="eastAsia" w:ascii="宋体" w:hAnsi="宋体" w:cs="宋体"/>
                <w:color w:val="000000"/>
                <w:sz w:val="24"/>
                <w:highlight w:val="none"/>
              </w:rPr>
              <w:t xml:space="preserve">500</w:t>
            </w:r>
            <w:r>
              <w:rPr>
                <w:rFonts w:ascii="宋体" w:hAnsi="宋体" w:cs="Arial"/>
                <w:color w:val="000000"/>
                <w:sz w:val="24"/>
                <w:highlight w:val="none"/>
              </w:rPr>
            </w:r>
            <w:r/>
          </w:p>
        </w:tc>
        <w:tc>
          <w:tcPr>
            <w:tcW w:w="919" w:type="dxa"/>
            <w:vAlign w:val="center"/>
            <w:vMerge w:val="restart"/>
            <w:textDirection w:val="lrTb"/>
            <w:noWrap w:val="false"/>
          </w:tcPr>
          <w:p>
            <w:pPr>
              <w:pStyle w:val="106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vMerge w:val="restart"/>
            <w:textDirection w:val="lrTb"/>
            <w:noWrap w:val="false"/>
          </w:tcPr>
          <w:p>
            <w:pPr>
              <w:pStyle w:val="106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771" w:type="dxa"/>
            <w:vAlign w:val="center"/>
            <w:vMerge w:val="continue"/>
            <w:textDirection w:val="lrTb"/>
            <w:noWrap w:val="false"/>
          </w:tcPr>
          <w:p>
            <w:pPr>
              <w:pStyle w:val="106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2391" w:type="dxa"/>
            <w:vAlign w:val="center"/>
            <w:vMerge w:val="continue"/>
            <w:textDirection w:val="lrTb"/>
            <w:noWrap w:val="false"/>
          </w:tcPr>
          <w:p>
            <w:pPr>
              <w:pStyle w:val="1068"/>
              <w:jc w:val="center"/>
              <w:spacing w:line="360" w:lineRule="exact"/>
              <w:widowControl/>
              <w:rPr>
                <w:rFonts w:ascii="宋体" w:hAnsi="宋体" w:cs="Arial"/>
                <w:b/>
                <w:bCs/>
                <w:color w:val="000000"/>
                <w:sz w:val="24"/>
                <w:highlight w:val="none"/>
              </w:rPr>
            </w:pPr>
            <w:r>
              <w:rPr>
                <w:rFonts w:ascii="宋体" w:hAnsi="宋体" w:cs="Arial"/>
                <w:b/>
                <w:bCs/>
                <w:color w:val="000000"/>
                <w:sz w:val="24"/>
                <w:highlight w:val="none"/>
              </w:rPr>
            </w:r>
            <w:r/>
          </w:p>
        </w:tc>
        <w:tc>
          <w:tcPr>
            <w:tcW w:w="1559" w:type="dxa"/>
            <w:vAlign w:val="center"/>
            <w:textDirection w:val="lrTb"/>
            <w:noWrap w:val="false"/>
          </w:tcPr>
          <w:p>
            <w:pPr>
              <w:pStyle w:val="1068"/>
              <w:jc w:val="center"/>
              <w:spacing w:line="360" w:lineRule="exact"/>
              <w:widowControl/>
              <w:rPr>
                <w:rFonts w:ascii="宋体" w:hAnsi="宋体" w:cs="Arial"/>
                <w:color w:val="000000"/>
                <w:sz w:val="24"/>
                <w:highlight w:val="none"/>
              </w:rPr>
            </w:pPr>
            <w:r>
              <w:rPr>
                <w:rFonts w:hint="eastAsia" w:ascii="宋体" w:hAnsi="宋体" w:cs="宋体"/>
                <w:color w:val="000000"/>
                <w:sz w:val="24"/>
                <w:highlight w:val="none"/>
              </w:rPr>
              <w:t xml:space="preserve">第二层</w:t>
            </w:r>
            <w:r>
              <w:rPr>
                <w:rFonts w:ascii="宋体" w:hAnsi="宋体" w:cs="Arial"/>
                <w:color w:val="000000"/>
                <w:sz w:val="24"/>
                <w:highlight w:val="none"/>
              </w:rPr>
            </w:r>
            <w:r/>
          </w:p>
        </w:tc>
        <w:tc>
          <w:tcPr>
            <w:tcW w:w="1938" w:type="dxa"/>
            <w:vAlign w:val="center"/>
            <w:textDirection w:val="lrTb"/>
            <w:noWrap w:val="false"/>
          </w:tcPr>
          <w:p>
            <w:pPr>
              <w:pStyle w:val="1068"/>
              <w:jc w:val="center"/>
              <w:spacing w:line="360" w:lineRule="auto"/>
              <w:widowControl/>
              <w:rPr>
                <w:rFonts w:ascii="宋体" w:hAnsi="宋体" w:cs="Arial"/>
                <w:color w:val="000000"/>
                <w:sz w:val="24"/>
                <w:highlight w:val="none"/>
              </w:rPr>
            </w:pPr>
            <w:r>
              <w:rPr>
                <w:rFonts w:hint="eastAsia" w:ascii="宋体" w:hAnsi="宋体" w:cs="宋体"/>
                <w:color w:val="000000"/>
                <w:sz w:val="24"/>
                <w:highlight w:val="none"/>
              </w:rPr>
              <w:t xml:space="preserve">150</w:t>
            </w:r>
            <w:r>
              <w:rPr>
                <w:rFonts w:ascii="宋体" w:hAnsi="宋体" w:cs="Arial"/>
                <w:color w:val="000000"/>
                <w:sz w:val="24"/>
                <w:highlight w:val="none"/>
              </w:rPr>
            </w:r>
            <w:r/>
          </w:p>
        </w:tc>
        <w:tc>
          <w:tcPr>
            <w:tcW w:w="919" w:type="dxa"/>
            <w:vAlign w:val="center"/>
            <w:vMerge w:val="continue"/>
            <w:textDirection w:val="lrTb"/>
            <w:noWrap w:val="false"/>
          </w:tcPr>
          <w:p>
            <w:pPr>
              <w:pStyle w:val="106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vMerge w:val="continue"/>
            <w:textDirection w:val="lrTb"/>
            <w:noWrap w:val="false"/>
          </w:tcPr>
          <w:p>
            <w:pPr>
              <w:pStyle w:val="106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771" w:type="dxa"/>
            <w:vAlign w:val="center"/>
            <w:vMerge w:val="continue"/>
            <w:textDirection w:val="lrTb"/>
            <w:noWrap w:val="false"/>
          </w:tcPr>
          <w:p>
            <w:pPr>
              <w:pStyle w:val="106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2391" w:type="dxa"/>
            <w:vAlign w:val="center"/>
            <w:vMerge w:val="continue"/>
            <w:textDirection w:val="lrTb"/>
            <w:noWrap w:val="false"/>
          </w:tcPr>
          <w:p>
            <w:pPr>
              <w:pStyle w:val="1068"/>
              <w:jc w:val="center"/>
              <w:spacing w:line="360" w:lineRule="exact"/>
              <w:widowControl/>
              <w:rPr>
                <w:rFonts w:ascii="宋体" w:hAnsi="宋体" w:cs="Arial"/>
                <w:b/>
                <w:bCs/>
                <w:color w:val="000000"/>
                <w:sz w:val="24"/>
                <w:highlight w:val="none"/>
              </w:rPr>
            </w:pPr>
            <w:r>
              <w:rPr>
                <w:rFonts w:ascii="宋体" w:hAnsi="宋体" w:cs="Arial"/>
                <w:b/>
                <w:bCs/>
                <w:color w:val="000000"/>
                <w:sz w:val="24"/>
                <w:highlight w:val="none"/>
              </w:rPr>
            </w:r>
            <w:r/>
          </w:p>
        </w:tc>
        <w:tc>
          <w:tcPr>
            <w:tcW w:w="1559" w:type="dxa"/>
            <w:vAlign w:val="center"/>
            <w:textDirection w:val="lrTb"/>
            <w:noWrap w:val="false"/>
          </w:tcPr>
          <w:p>
            <w:pPr>
              <w:pStyle w:val="1068"/>
              <w:jc w:val="center"/>
              <w:spacing w:line="360" w:lineRule="exact"/>
              <w:widowControl/>
              <w:rPr>
                <w:rFonts w:ascii="宋体" w:hAnsi="宋体" w:cs="Arial"/>
                <w:color w:val="000000"/>
                <w:sz w:val="24"/>
                <w:highlight w:val="none"/>
              </w:rPr>
            </w:pPr>
            <w:r>
              <w:rPr>
                <w:rFonts w:hint="eastAsia" w:ascii="宋体" w:hAnsi="宋体" w:cs="宋体"/>
                <w:color w:val="000000"/>
                <w:sz w:val="24"/>
                <w:highlight w:val="none"/>
              </w:rPr>
              <w:t xml:space="preserve">第三层</w:t>
            </w:r>
            <w:r>
              <w:rPr>
                <w:rFonts w:ascii="宋体" w:hAnsi="宋体" w:cs="Arial"/>
                <w:color w:val="000000"/>
                <w:sz w:val="24"/>
                <w:highlight w:val="none"/>
              </w:rPr>
            </w:r>
            <w:r/>
          </w:p>
        </w:tc>
        <w:tc>
          <w:tcPr>
            <w:tcW w:w="1938" w:type="dxa"/>
            <w:vAlign w:val="center"/>
            <w:textDirection w:val="lrTb"/>
            <w:noWrap w:val="false"/>
          </w:tcPr>
          <w:p>
            <w:pPr>
              <w:pStyle w:val="1068"/>
              <w:jc w:val="center"/>
              <w:spacing w:line="360" w:lineRule="auto"/>
              <w:widowControl/>
              <w:rPr>
                <w:rFonts w:ascii="宋体" w:hAnsi="宋体" w:cs="Arial"/>
                <w:color w:val="000000"/>
                <w:sz w:val="24"/>
                <w:highlight w:val="none"/>
              </w:rPr>
            </w:pPr>
            <w:r>
              <w:rPr>
                <w:rFonts w:hint="eastAsia" w:ascii="宋体" w:hAnsi="宋体" w:cs="宋体"/>
                <w:color w:val="000000"/>
                <w:sz w:val="24"/>
                <w:highlight w:val="none"/>
              </w:rPr>
              <w:t xml:space="preserve">150</w:t>
            </w:r>
            <w:r>
              <w:rPr>
                <w:rFonts w:ascii="宋体" w:hAnsi="宋体" w:cs="Arial"/>
                <w:color w:val="000000"/>
                <w:sz w:val="24"/>
                <w:highlight w:val="none"/>
              </w:rPr>
            </w:r>
            <w:r/>
          </w:p>
        </w:tc>
        <w:tc>
          <w:tcPr>
            <w:tcW w:w="919" w:type="dxa"/>
            <w:vAlign w:val="center"/>
            <w:vMerge w:val="continue"/>
            <w:textDirection w:val="lrTb"/>
            <w:noWrap w:val="false"/>
          </w:tcPr>
          <w:p>
            <w:pPr>
              <w:pStyle w:val="106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vMerge w:val="continue"/>
            <w:textDirection w:val="lrTb"/>
            <w:noWrap w:val="false"/>
          </w:tcPr>
          <w:p>
            <w:pPr>
              <w:pStyle w:val="106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3"/>
            <w:tcW w:w="4721" w:type="dxa"/>
            <w:vAlign w:val="center"/>
            <w:textDirection w:val="lrTb"/>
            <w:noWrap w:val="false"/>
          </w:tcPr>
          <w:p>
            <w:pPr>
              <w:pStyle w:val="106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总价</w:t>
            </w:r>
            <w:r>
              <w:rPr>
                <w:rFonts w:ascii="宋体" w:hAnsi="宋体" w:cs="Arial"/>
                <w:color w:val="000000"/>
                <w:sz w:val="24"/>
                <w:highlight w:val="none"/>
              </w:rPr>
            </w:r>
            <w:r/>
          </w:p>
        </w:tc>
        <w:tc>
          <w:tcPr>
            <w:gridSpan w:val="3"/>
            <w:tcW w:w="3929" w:type="dxa"/>
            <w:vAlign w:val="center"/>
            <w:textDirection w:val="lrTb"/>
            <w:noWrap w:val="false"/>
          </w:tcPr>
          <w:p>
            <w:pPr>
              <w:pStyle w:val="106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1107"/>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包括招标文件所确定的招标范围相应服务的提供、人员（包括工资和补贴）、办公场所及设施、机械及仪器费、检测费、保险、劳保、管理、各种税费、利润、税金、政策性文件规定及合同包含的所有风险、责任等各项应有费用，以及为完成该项服务项目所涉及到的一切相关费用，甲方不再支付其他任何费用。</w:t>
      </w:r>
      <w:r>
        <w:rPr>
          <w:rFonts w:hAnsi="宋体" w:cs="宋体"/>
          <w:color w:val="000000"/>
          <w:sz w:val="24"/>
          <w:szCs w:val="24"/>
          <w:highlight w:val="none"/>
        </w:rPr>
      </w:r>
      <w:r/>
    </w:p>
    <w:p>
      <w:pPr>
        <w:pStyle w:val="1107"/>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合同履行期限</w:t>
      </w:r>
      <w:r>
        <w:rPr>
          <w:rFonts w:hAnsi="宋体" w:cs="宋体"/>
          <w:b/>
          <w:color w:val="000000"/>
          <w:sz w:val="24"/>
          <w:szCs w:val="24"/>
          <w:highlight w:val="none"/>
        </w:rPr>
      </w:r>
      <w:r/>
    </w:p>
    <w:p>
      <w:pPr>
        <w:pStyle w:val="1107"/>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本项目分批分片实施，具备实施条件后45个日历天内完成。</w:t>
      </w:r>
      <w:r>
        <w:rPr>
          <w:rFonts w:hAnsi="宋体" w:cs="宋体"/>
          <w:b/>
          <w:color w:val="000000"/>
          <w:sz w:val="24"/>
          <w:szCs w:val="24"/>
          <w:highlight w:val="none"/>
        </w:rPr>
      </w:r>
      <w:r/>
    </w:p>
    <w:p>
      <w:pPr>
        <w:pStyle w:val="1107"/>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第四条 组成本合同的有关文件</w:t>
      </w:r>
      <w:r>
        <w:rPr>
          <w:rFonts w:hAnsi="宋体" w:cs="宋体"/>
          <w:b/>
          <w:color w:val="000000"/>
          <w:sz w:val="24"/>
          <w:szCs w:val="24"/>
          <w:highlight w:val="none"/>
        </w:rPr>
      </w:r>
      <w:r/>
    </w:p>
    <w:p>
      <w:pPr>
        <w:pStyle w:val="1107"/>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07"/>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07"/>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68"/>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合同款结算及支付</w:t>
      </w:r>
      <w:r>
        <w:rPr>
          <w:rFonts w:ascii="宋体" w:hAnsi="宋体" w:cs="宋体"/>
          <w:b/>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w:t>
      </w:r>
      <w:r>
        <w:rPr>
          <w:rFonts w:hint="eastAsia" w:ascii="宋体" w:hAnsi="宋体"/>
          <w:b/>
          <w:color w:val="000000"/>
          <w:sz w:val="24"/>
          <w:highlight w:val="none"/>
        </w:rPr>
        <w:t xml:space="preserve">固定单价，按实际检测点位数量结算，最终结算价不超过合同价（即中标总价）</w:t>
      </w:r>
      <w:r>
        <w:rPr>
          <w:rFonts w:ascii="宋体" w:hAnsi="宋体" w:cs="宋体"/>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4.付款方式：</w:t>
      </w:r>
      <w:r>
        <w:rPr>
          <w:rFonts w:hint="eastAsia" w:ascii="宋体" w:hAnsi="宋体" w:cs="宋体"/>
          <w:b/>
          <w:color w:val="000000"/>
          <w:sz w:val="24"/>
          <w:highlight w:val="none"/>
        </w:rPr>
        <w:t xml:space="preserve">中标人提交符合要求的全部检测成果报告后支付合同款的50%，第二年年底支付合同款的30%，剩余款项待第三年年底结清(无息)</w:t>
      </w:r>
      <w:r>
        <w:rPr>
          <w:rFonts w:ascii="宋体" w:hAnsi="宋体" w:cs="宋体"/>
          <w:color w:val="000000"/>
          <w:sz w:val="24"/>
          <w:highlight w:val="none"/>
        </w:rPr>
      </w:r>
      <w:r/>
    </w:p>
    <w:p>
      <w:pPr>
        <w:pStyle w:val="1068"/>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违约责任</w:t>
      </w:r>
      <w:r>
        <w:rPr>
          <w:rFonts w:ascii="宋体" w:hAnsi="宋体" w:cs="宋体"/>
          <w:b/>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1.如乙方不能按约定进行服务的，甲方有权解除合同，同时有权要求乙方按照合同总价5%的标准支付违约金，解除合同的通知自发出之日生效。</w:t>
      </w:r>
      <w:r>
        <w:rPr>
          <w:rFonts w:ascii="宋体" w:hAnsi="宋体" w:cs="宋体"/>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2.甲方未按合同规定的期限向乙方支付货款的，每逾期1天甲方向乙方偿付欠款总额的5‰滞纳金，但累计滞纳金总额不超过欠款总额的5% 。</w:t>
      </w:r>
      <w:r>
        <w:rPr>
          <w:rFonts w:ascii="宋体" w:hAnsi="宋体" w:cs="宋体"/>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3.乙方未按本合同的规定和“服务承诺”提供伴随服务的，甲方有权提前解除本合同，同时乙方应按合同总价款的5 %向甲方承担违约责任。</w:t>
      </w:r>
      <w:r>
        <w:rPr>
          <w:rFonts w:ascii="宋体" w:hAnsi="宋体" w:cs="宋体"/>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5.乙方投标属虚假承诺，或是由于乙方的过错造成合同无法继续履行的，乙方应向甲方支付不少于合同总价30%违约金，若该违约金不足以弥补甲方损失，则应当赔偿甲方所有损失。</w:t>
      </w:r>
      <w:r>
        <w:rPr>
          <w:rFonts w:ascii="宋体" w:hAnsi="宋体" w:cs="宋体"/>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6.其他未尽事宜，以《民法典》等有关法律法规规定为准，无相关规定的，双方协商解决。</w:t>
      </w:r>
      <w:r>
        <w:rPr>
          <w:rFonts w:ascii="宋体" w:hAnsi="宋体" w:cs="宋体"/>
          <w:color w:val="000000"/>
          <w:sz w:val="24"/>
          <w:highlight w:val="none"/>
        </w:rPr>
      </w:r>
      <w:r/>
    </w:p>
    <w:p>
      <w:pPr>
        <w:pStyle w:val="1068"/>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合同的变更和终止</w:t>
      </w:r>
      <w:r>
        <w:rPr>
          <w:rFonts w:ascii="宋体" w:hAnsi="宋体" w:cs="宋体"/>
          <w:b/>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1068"/>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合同的转让</w:t>
      </w:r>
      <w:r>
        <w:rPr>
          <w:rFonts w:ascii="宋体" w:hAnsi="宋体" w:cs="宋体"/>
          <w:b/>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68"/>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不可抗力</w:t>
      </w:r>
      <w:r>
        <w:rPr>
          <w:rFonts w:ascii="宋体" w:hAnsi="宋体" w:cs="宋体"/>
          <w:b/>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10</w:t>
      </w:r>
      <w:r>
        <w:rPr>
          <w:rFonts w:hint="eastAsia" w:ascii="宋体" w:hAnsi="宋体" w:cs="宋体"/>
          <w:color w:val="000000"/>
          <w:sz w:val="24"/>
          <w:highlight w:val="none"/>
          <w:u w:val="single"/>
        </w:rPr>
        <w:t xml:space="preserve"> 个</w:t>
      </w:r>
      <w:r>
        <w:rPr>
          <w:rFonts w:hint="eastAsia" w:ascii="宋体" w:hAnsi="宋体" w:cs="宋体"/>
          <w:color w:val="000000"/>
          <w:sz w:val="24"/>
          <w:highlight w:val="none"/>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68"/>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争议的解决</w:t>
      </w:r>
      <w:r>
        <w:rPr>
          <w:rFonts w:ascii="宋体" w:hAnsi="宋体" w:cs="宋体"/>
          <w:b/>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ascii="宋体" w:hAnsi="宋体" w:cs="宋体"/>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2.在法院审理和仲裁期间，除有争议部分外，本合同其他部分应继续履行。</w:t>
      </w:r>
      <w:r>
        <w:rPr>
          <w:rFonts w:ascii="宋体" w:hAnsi="宋体" w:cs="宋体"/>
          <w:color w:val="000000"/>
          <w:sz w:val="24"/>
          <w:highlight w:val="none"/>
        </w:rPr>
      </w:r>
      <w:r/>
    </w:p>
    <w:p>
      <w:pPr>
        <w:pStyle w:val="1068"/>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诚实信用 </w:t>
      </w:r>
      <w:r>
        <w:rPr>
          <w:rFonts w:ascii="宋体" w:hAnsi="宋体" w:cs="宋体"/>
          <w:b/>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68"/>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合同生效及其他</w:t>
      </w:r>
      <w:r>
        <w:rPr>
          <w:rFonts w:ascii="宋体" w:hAnsi="宋体" w:cs="宋体"/>
          <w:b/>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68"/>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8"/>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68"/>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68"/>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6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6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传真：</w:t>
      </w:r>
      <w:r>
        <w:rPr>
          <w:rFonts w:ascii="宋体" w:hAnsi="宋体" w:cs="宋体"/>
          <w:color w:val="000000"/>
          <w:sz w:val="24"/>
          <w:highlight w:val="none"/>
        </w:rPr>
      </w:r>
      <w:r/>
    </w:p>
    <w:p>
      <w:pPr>
        <w:pStyle w:val="106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传真：                                   开户银行：  </w:t>
      </w:r>
      <w:r>
        <w:rPr>
          <w:rFonts w:ascii="宋体" w:hAnsi="宋体" w:cs="宋体"/>
          <w:color w:val="000000"/>
          <w:sz w:val="24"/>
          <w:highlight w:val="none"/>
        </w:rPr>
      </w:r>
      <w:r/>
    </w:p>
    <w:p>
      <w:pPr>
        <w:pStyle w:val="1068"/>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6" w:name="_Toc99301426"/>
      <w:r>
        <w:rPr>
          <w:rFonts w:ascii="宋体" w:hAnsi="宋体"/>
          <w:b/>
          <w:color w:val="000000"/>
          <w:sz w:val="36"/>
          <w:szCs w:val="36"/>
          <w:highlight w:val="none"/>
        </w:rPr>
        <w:t xml:space="preserve">第七章   投标文件格式</w:t>
      </w:r>
      <w:bookmarkEnd w:id="816"/>
      <w:r>
        <w:rPr>
          <w:rFonts w:ascii="宋体" w:hAnsi="宋体"/>
          <w:b/>
          <w:color w:val="000000"/>
          <w:sz w:val="36"/>
          <w:szCs w:val="36"/>
          <w:highlight w:val="none"/>
        </w:rPr>
      </w:r>
      <w:r/>
    </w:p>
    <w:p>
      <w:pPr>
        <w:pStyle w:val="1068"/>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68"/>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68"/>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68"/>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68"/>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68"/>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68"/>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68"/>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68"/>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68"/>
        <w:rPr>
          <w:rFonts w:ascii="宋体" w:hAnsi="宋体"/>
          <w:b/>
          <w:color w:val="000000"/>
          <w:spacing w:val="20"/>
          <w:szCs w:val="21"/>
          <w:highlight w:val="none"/>
        </w:rPr>
      </w:pPr>
      <w:r>
        <w:rPr>
          <w:rFonts w:ascii="宋体" w:hAnsi="宋体"/>
          <w:b/>
          <w:color w:val="000000"/>
          <w:spacing w:val="20"/>
          <w:szCs w:val="21"/>
          <w:highlight w:val="none"/>
        </w:rPr>
      </w:r>
      <w:r/>
    </w:p>
    <w:p>
      <w:pPr>
        <w:pStyle w:val="1068"/>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68"/>
        <w:jc w:val="center"/>
        <w:rPr>
          <w:rFonts w:ascii="宋体" w:hAnsi="宋体"/>
          <w:color w:val="000000"/>
          <w:szCs w:val="21"/>
          <w:highlight w:val="none"/>
        </w:rPr>
      </w:pPr>
      <w:r>
        <w:rPr>
          <w:rFonts w:ascii="宋体" w:hAnsi="宋体"/>
          <w:color w:val="000000"/>
          <w:szCs w:val="21"/>
          <w:highlight w:val="none"/>
        </w:rPr>
      </w:r>
      <w:r/>
    </w:p>
    <w:p>
      <w:pPr>
        <w:pStyle w:val="1068"/>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68"/>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68"/>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68"/>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68"/>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68"/>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68"/>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68"/>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68"/>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68"/>
        <w:jc w:val="center"/>
        <w:rPr>
          <w:rFonts w:ascii="宋体" w:hAnsi="宋体"/>
          <w:b/>
          <w:color w:val="000000"/>
          <w:sz w:val="32"/>
          <w:szCs w:val="32"/>
          <w:highlight w:val="none"/>
        </w:rPr>
      </w:pPr>
      <w:r>
        <w:rPr>
          <w:rFonts w:ascii="宋体" w:hAnsi="宋体"/>
          <w:b/>
          <w:color w:val="000000"/>
          <w:sz w:val="32"/>
          <w:szCs w:val="32"/>
          <w:highlight w:val="none"/>
        </w:rPr>
      </w:r>
      <w:r/>
    </w:p>
    <w:p>
      <w:pPr>
        <w:pStyle w:val="1068"/>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68"/>
        <w:rPr>
          <w:rFonts w:ascii="宋体" w:hAnsi="宋体"/>
          <w:b/>
          <w:color w:val="000000"/>
          <w:highlight w:val="none"/>
        </w:rPr>
      </w:pPr>
      <w:r>
        <w:rPr>
          <w:rFonts w:ascii="宋体" w:hAnsi="宋体"/>
          <w:b/>
          <w:color w:val="000000"/>
          <w:highlight w:val="none"/>
        </w:rPr>
      </w:r>
      <w:r/>
    </w:p>
    <w:p>
      <w:pPr>
        <w:pStyle w:val="1068"/>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1"/>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68"/>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68"/>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2"/>
        <w:ind w:firstLine="480"/>
        <w:spacing w:line="460" w:lineRule="exact"/>
        <w:rPr>
          <w:rFonts w:hAnsi="宋体"/>
          <w:color w:val="000000"/>
          <w:highlight w:val="none"/>
        </w:rPr>
      </w:pPr>
      <w:r>
        <w:rPr>
          <w:rFonts w:hAnsi="宋体"/>
          <w:color w:val="000000"/>
          <w:highlight w:val="none"/>
        </w:rPr>
      </w:r>
      <w:r/>
    </w:p>
    <w:p>
      <w:pPr>
        <w:pStyle w:val="1082"/>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2"/>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2"/>
        <w:ind w:firstLine="480"/>
        <w:spacing w:line="460" w:lineRule="exact"/>
        <w:rPr>
          <w:rFonts w:hAnsi="宋体"/>
          <w:color w:val="000000"/>
          <w:highlight w:val="none"/>
        </w:rPr>
      </w:pPr>
      <w:r>
        <w:rPr>
          <w:rFonts w:hAnsi="宋体"/>
          <w:color w:val="000000"/>
          <w:highlight w:val="none"/>
        </w:rPr>
      </w:r>
      <w:r/>
    </w:p>
    <w:p>
      <w:pPr>
        <w:pStyle w:val="1082"/>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2"/>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2"/>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2"/>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2"/>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2"/>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2"/>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2"/>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2"/>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2"/>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2"/>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2"/>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2"/>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2"/>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2"/>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2"/>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2"/>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2"/>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2"/>
        <w:ind w:firstLine="480"/>
        <w:spacing w:line="460" w:lineRule="exact"/>
        <w:rPr>
          <w:rFonts w:hAnsi="宋体"/>
          <w:color w:val="000000"/>
          <w:highlight w:val="none"/>
        </w:rPr>
      </w:pPr>
      <w:r>
        <w:rPr>
          <w:rFonts w:hAnsi="宋体"/>
          <w:color w:val="000000"/>
          <w:highlight w:val="none"/>
        </w:rPr>
      </w:r>
      <w:r/>
    </w:p>
    <w:p>
      <w:pPr>
        <w:pStyle w:val="1082"/>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2"/>
        <w:ind w:firstLine="480"/>
        <w:spacing w:line="460" w:lineRule="exact"/>
        <w:rPr>
          <w:rFonts w:hAnsi="宋体"/>
          <w:color w:val="000000"/>
          <w:highlight w:val="none"/>
        </w:rPr>
      </w:pPr>
      <w:r>
        <w:rPr>
          <w:rFonts w:hAnsi="宋体"/>
          <w:color w:val="000000"/>
          <w:highlight w:val="none"/>
        </w:rPr>
      </w:r>
      <w:r/>
    </w:p>
    <w:p>
      <w:pPr>
        <w:pStyle w:val="1082"/>
        <w:ind w:firstLine="480"/>
        <w:spacing w:line="460" w:lineRule="exact"/>
        <w:rPr>
          <w:rFonts w:hAnsi="宋体"/>
          <w:color w:val="000000"/>
          <w:highlight w:val="none"/>
        </w:rPr>
      </w:pPr>
      <w:r>
        <w:rPr>
          <w:rFonts w:hAnsi="宋体"/>
          <w:color w:val="000000"/>
          <w:highlight w:val="none"/>
        </w:rPr>
      </w:r>
      <w:r/>
    </w:p>
    <w:p>
      <w:pPr>
        <w:pStyle w:val="1082"/>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82"/>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82"/>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6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6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6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68"/>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68"/>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68"/>
        <w:spacing w:line="360" w:lineRule="auto"/>
        <w:rPr>
          <w:rFonts w:ascii="宋体" w:hAnsi="宋体"/>
          <w:color w:val="000000"/>
          <w:sz w:val="24"/>
          <w:szCs w:val="20"/>
          <w:highlight w:val="none"/>
        </w:rPr>
        <w:outlineLvl w:val="2"/>
      </w:pPr>
      <w:r>
        <w:rPr>
          <w:rFonts w:ascii="宋体" w:hAnsi="宋体"/>
          <w:b/>
          <w:color w:val="000000"/>
          <w:sz w:val="24"/>
          <w:szCs w:val="20"/>
          <w:highlight w:val="none"/>
        </w:rPr>
        <w:t xml:space="preserve">2-1中小企业声明函</w:t>
      </w:r>
      <w:r>
        <w:rPr>
          <w:rFonts w:ascii="宋体" w:hAnsi="宋体"/>
          <w:color w:val="000000"/>
          <w:sz w:val="24"/>
          <w:szCs w:val="20"/>
          <w:highlight w:val="none"/>
        </w:rPr>
      </w:r>
      <w:r/>
    </w:p>
    <w:p>
      <w:pPr>
        <w:pStyle w:val="106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（1）如本项目（包）不专门面向中小企业预留采购份额，</w:t>
      </w:r>
      <w:r>
        <w:rPr>
          <w:rFonts w:hint="eastAsia" w:ascii="宋体" w:hAnsi="宋体"/>
          <w:color w:val="000000"/>
          <w:sz w:val="24"/>
          <w:highlight w:val="none"/>
        </w:rPr>
        <w:t xml:space="preserve">资格证明文件部分</w:t>
      </w:r>
      <w:r>
        <w:rPr>
          <w:rFonts w:ascii="宋体" w:hAnsi="宋体"/>
          <w:color w:val="000000"/>
          <w:sz w:val="24"/>
          <w:highlight w:val="none"/>
        </w:rPr>
        <w:t xml:space="preserve">无需提供《中小企业声明函》。</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（2）如本项目（包）专门面向中小/小微企业采购，须提供《中小企业声明函》</w:t>
      </w:r>
      <w:r>
        <w:rPr>
          <w:rFonts w:ascii="宋体" w:hAnsi="宋体"/>
          <w:color w:val="000000"/>
          <w:sz w:val="24"/>
          <w:szCs w:val="20"/>
          <w:highlight w:val="none"/>
        </w:rPr>
        <w:t xml:space="preserve">（实质性格式）</w:t>
      </w:r>
      <w:r>
        <w:rPr>
          <w:rFonts w:ascii="宋体" w:hAnsi="宋体"/>
          <w:color w:val="000000"/>
          <w:sz w:val="24"/>
          <w:highlight w:val="none"/>
        </w:rPr>
        <w:t xml:space="preserve">。</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（4）其他</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1）中小企业参加政府采购活动，应当出具此格式文件。《中小企业声明函》由参加政府采购活动的投标人出具。联合体投标的，《中小企业声明函》由牵头人出具。</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ascii="宋体" w:hAnsi="宋体"/>
          <w:color w:val="000000"/>
          <w:sz w:val="24"/>
          <w:highlight w:val="none"/>
        </w:rPr>
      </w:r>
      <w:r/>
    </w:p>
    <w:p>
      <w:pPr>
        <w:pStyle w:val="1068"/>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68"/>
        <w:jc w:val="left"/>
        <w:widowControl/>
        <w:rPr>
          <w:rFonts w:ascii="宋体" w:hAnsi="宋体"/>
          <w:b/>
          <w:bCs/>
          <w:color w:val="000000"/>
          <w:sz w:val="36"/>
          <w:szCs w:val="36"/>
          <w:highlight w:val="none"/>
        </w:rPr>
      </w:pPr>
      <w:r>
        <w:rPr>
          <w:rFonts w:ascii="宋体" w:hAnsi="宋体"/>
          <w:color w:val="000000"/>
          <w:sz w:val="24"/>
          <w:highlight w:val="none"/>
        </w:rPr>
        <w:br w:type="page" w:clear="all"/>
      </w:r>
      <w:r>
        <w:rPr>
          <w:rFonts w:ascii="宋体" w:hAnsi="宋体"/>
          <w:b/>
          <w:bCs/>
          <w:color w:val="000000"/>
          <w:sz w:val="36"/>
          <w:szCs w:val="36"/>
          <w:highlight w:val="none"/>
        </w:rPr>
      </w:r>
      <w:r/>
    </w:p>
    <w:p>
      <w:pPr>
        <w:pStyle w:val="1068"/>
        <w:jc w:val="center"/>
        <w:spacing w:before="240" w:after="240" w:line="360" w:lineRule="auto"/>
        <w:rPr>
          <w:rFonts w:ascii="宋体" w:hAnsi="宋体"/>
          <w:b/>
          <w:bCs/>
          <w:color w:val="000000"/>
          <w:sz w:val="36"/>
          <w:szCs w:val="36"/>
          <w:highlight w:val="none"/>
        </w:rPr>
      </w:pPr>
      <w:r>
        <w:rPr>
          <w:rFonts w:hint="eastAsia" w:ascii="宋体" w:hAnsi="宋体"/>
          <w:b/>
          <w:bCs/>
          <w:color w:val="000000"/>
          <w:sz w:val="36"/>
          <w:szCs w:val="36"/>
          <w:highlight w:val="none"/>
        </w:rPr>
        <w:t xml:space="preserve">中小企业声明函（服务）格式</w:t>
      </w:r>
      <w:r>
        <w:rPr>
          <w:rFonts w:ascii="宋体" w:hAnsi="宋体"/>
          <w:b/>
          <w:bCs/>
          <w:color w:val="000000"/>
          <w:sz w:val="36"/>
          <w:szCs w:val="36"/>
          <w:highlight w:val="none"/>
        </w:rPr>
      </w:r>
      <w:r/>
    </w:p>
    <w:p>
      <w:pPr>
        <w:pStyle w:val="106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pacing w:val="6"/>
          <w:sz w:val="24"/>
          <w:highlight w:val="none"/>
        </w:rPr>
      </w:r>
      <w:r/>
    </w:p>
    <w:p>
      <w:pPr>
        <w:pStyle w:val="106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1.</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hint="eastAsia" w:ascii="宋体" w:hAnsi="宋体"/>
          <w:color w:val="000000"/>
          <w:spacing w:val="6"/>
          <w:sz w:val="24"/>
          <w:highlight w:val="none"/>
        </w:rPr>
        <w:t xml:space="preserve">其他未列明</w:t>
      </w:r>
      <w:r>
        <w:rPr>
          <w:rFonts w:ascii="宋体" w:hAnsi="宋体"/>
          <w:color w:val="000000"/>
          <w:spacing w:val="6"/>
          <w:sz w:val="24"/>
          <w:highlight w:val="none"/>
        </w:rPr>
        <w:t xml:space="preserve">行业；承建（承接）企业为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w:t>
      </w:r>
      <w:r>
        <w:rPr>
          <w:rFonts w:ascii="宋体" w:hAnsi="宋体"/>
          <w:color w:val="000000"/>
          <w:spacing w:val="6"/>
          <w:sz w:val="24"/>
          <w:highlight w:val="none"/>
          <w:vertAlign w:val="superscript"/>
        </w:rPr>
        <w:t xml:space="preserve">1</w:t>
      </w:r>
      <w:r>
        <w:rPr>
          <w:rFonts w:ascii="宋体" w:hAnsi="宋体"/>
          <w:color w:val="000000"/>
          <w:spacing w:val="6"/>
          <w:sz w:val="24"/>
          <w:highlight w:val="none"/>
        </w:rPr>
        <w:t xml:space="preserve">，属于（中型企业、小型企业、微型企业）；</w:t>
      </w:r>
      <w:r>
        <w:rPr>
          <w:rFonts w:ascii="宋体" w:hAnsi="宋体"/>
          <w:color w:val="000000"/>
          <w:spacing w:val="6"/>
          <w:sz w:val="24"/>
          <w:highlight w:val="none"/>
        </w:rPr>
      </w:r>
      <w:r/>
    </w:p>
    <w:p>
      <w:pPr>
        <w:pStyle w:val="106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2.</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hint="eastAsia" w:ascii="宋体" w:hAnsi="宋体"/>
          <w:color w:val="000000"/>
          <w:spacing w:val="6"/>
          <w:sz w:val="24"/>
          <w:highlight w:val="none"/>
        </w:rPr>
        <w:t xml:space="preserve">其他未列明</w:t>
      </w:r>
      <w:r>
        <w:rPr>
          <w:rFonts w:ascii="宋体" w:hAnsi="宋体"/>
          <w:color w:val="000000"/>
          <w:spacing w:val="6"/>
          <w:sz w:val="24"/>
          <w:highlight w:val="none"/>
        </w:rPr>
        <w:t xml:space="preserve">行业；承建（承接）企业为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，从业人员______人，营业收入为______万元，资产总额为______万元，属于</w:t>
      </w:r>
      <w:r>
        <w:rPr>
          <w:rFonts w:ascii="宋体" w:hAnsi="宋体"/>
          <w:color w:val="000000"/>
          <w:spacing w:val="6"/>
          <w:sz w:val="24"/>
          <w:highlight w:val="none"/>
          <w:u w:val="single"/>
        </w:rPr>
        <w:t xml:space="preserve">（中型企业、小型企业、微型企业）</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68"/>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6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6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以上企业，不属于大企业的分支机构，不存在控股股东为大企业的情形，也不存在与大企业的负责人为同一人的情形。</w:t>
      </w:r>
      <w:r>
        <w:rPr>
          <w:rFonts w:ascii="宋体" w:hAnsi="宋体"/>
          <w:color w:val="000000"/>
          <w:spacing w:val="6"/>
          <w:sz w:val="24"/>
          <w:highlight w:val="none"/>
        </w:rPr>
      </w:r>
      <w:r/>
    </w:p>
    <w:p>
      <w:pPr>
        <w:pStyle w:val="106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1068"/>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68"/>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68"/>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68"/>
        <w:jc w:val="left"/>
        <w:rPr>
          <w:rFonts w:ascii="宋体" w:hAnsi="宋体"/>
          <w:color w:val="000000"/>
          <w:sz w:val="24"/>
          <w:szCs w:val="21"/>
          <w:highlight w:val="none"/>
        </w:rPr>
      </w:pPr>
      <w:r>
        <w:rPr>
          <w:rFonts w:ascii="宋体" w:hAnsi="宋体"/>
          <w:color w:val="000000"/>
          <w:sz w:val="24"/>
          <w:szCs w:val="21"/>
          <w:highlight w:val="none"/>
        </w:rPr>
      </w:r>
      <w:r/>
    </w:p>
    <w:p>
      <w:pPr>
        <w:pStyle w:val="1068"/>
        <w:jc w:val="left"/>
        <w:rPr>
          <w:rFonts w:ascii="宋体" w:hAnsi="宋体"/>
          <w:color w:val="000000"/>
          <w:sz w:val="24"/>
          <w:szCs w:val="21"/>
          <w:highlight w:val="none"/>
        </w:rPr>
      </w:pPr>
      <w:r>
        <w:rPr>
          <w:rFonts w:ascii="宋体" w:hAnsi="宋体"/>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68"/>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68"/>
        <w:jc w:val="left"/>
        <w:rPr>
          <w:rFonts w:ascii="宋体" w:hAnsi="宋体"/>
          <w:color w:val="000000"/>
          <w:szCs w:val="21"/>
          <w:highlight w:val="none"/>
          <w:vertAlign w:val="superscript"/>
        </w:rPr>
      </w:pPr>
      <w:r>
        <w:rPr>
          <w:rFonts w:ascii="宋体" w:hAnsi="宋体"/>
          <w:color w:val="000000"/>
          <w:szCs w:val="21"/>
          <w:highlight w:val="none"/>
          <w:vertAlign w:val="superscript"/>
        </w:rPr>
      </w:r>
      <w:r/>
    </w:p>
    <w:p>
      <w:pPr>
        <w:pStyle w:val="1068"/>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68"/>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68"/>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68"/>
        <w:jc w:val="center"/>
        <w:spacing w:before="240" w:after="240" w:line="360" w:lineRule="auto"/>
        <w:rPr>
          <w:rFonts w:ascii="宋体" w:hAnsi="宋体"/>
          <w:b/>
          <w:color w:val="000000"/>
          <w:sz w:val="36"/>
          <w:szCs w:val="36"/>
          <w:highlight w:val="none"/>
        </w:rPr>
      </w:pPr>
      <w:r>
        <w:rPr>
          <w:rFonts w:hint="eastAsia" w:ascii="宋体" w:hAnsi="宋体"/>
          <w:b/>
          <w:bCs/>
          <w:color w:val="000000"/>
          <w:sz w:val="36"/>
          <w:szCs w:val="36"/>
          <w:highlight w:val="none"/>
        </w:rPr>
        <w:t xml:space="preserve">残疾人福利性单位声明函格式</w:t>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68"/>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68"/>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68"/>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68"/>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68"/>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68"/>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68"/>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68"/>
        <w:ind w:right="1560" w:firstLine="504"/>
        <w:jc w:val="center"/>
        <w:spacing w:line="588" w:lineRule="exact"/>
        <w:tabs>
          <w:tab w:val="left" w:pos="4860" w:leader="none"/>
        </w:tabs>
        <w:rPr>
          <w:rFonts w:hint="eastAsia" w:ascii="宋体" w:hAnsi="宋体"/>
          <w:color w:val="000000"/>
          <w:spacing w:val="6"/>
          <w:sz w:val="24"/>
          <w:highlight w:val="none"/>
        </w:rPr>
      </w:pPr>
      <w:r>
        <w:rPr>
          <w:rFonts w:ascii="宋体" w:hAnsi="宋体"/>
          <w:color w:val="000000"/>
          <w:spacing w:val="6"/>
          <w:sz w:val="24"/>
          <w:highlight w:val="none"/>
        </w:rPr>
        <w:t xml:space="preserve">       日  期：</w:t>
      </w:r>
      <w:r>
        <w:rPr>
          <w:rFonts w:hint="eastAsia" w:ascii="宋体" w:hAnsi="宋体"/>
          <w:color w:val="000000"/>
          <w:spacing w:val="6"/>
          <w:sz w:val="24"/>
          <w:highlight w:val="none"/>
        </w:rPr>
      </w:r>
      <w:r/>
    </w:p>
    <w:p>
      <w:pPr>
        <w:pStyle w:val="1068"/>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068"/>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068"/>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068"/>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r>
      <w:r/>
    </w:p>
    <w:p>
      <w:pPr>
        <w:pStyle w:val="1068"/>
        <w:jc w:val="left"/>
        <w:widowControl/>
        <w:rPr>
          <w:rFonts w:ascii="宋体" w:hAnsi="宋体"/>
          <w:color w:val="000000"/>
          <w:sz w:val="24"/>
          <w:szCs w:val="20"/>
          <w:highlight w:val="none"/>
        </w:rPr>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68"/>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2-2</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68"/>
        <w:spacing w:line="360" w:lineRule="auto"/>
        <w:rPr>
          <w:rFonts w:ascii="宋体" w:hAnsi="宋体"/>
          <w:b/>
          <w:color w:val="000000"/>
          <w:sz w:val="24"/>
          <w:highlight w:val="none"/>
        </w:rPr>
        <w:outlineLvl w:val="2"/>
      </w:pP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68"/>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7" w:name="_Toc150480794"/>
      <w:r/>
      <w:bookmarkStart w:id="818" w:name="_Toc226337252"/>
      <w:r/>
      <w:bookmarkStart w:id="819" w:name="_Ref467988698"/>
      <w:r/>
      <w:bookmarkStart w:id="820" w:name="_Toc520356217"/>
      <w:r/>
      <w:bookmarkStart w:id="821" w:name="_Toc127151556"/>
      <w:r/>
      <w:bookmarkStart w:id="822" w:name="_Toc150774761"/>
      <w:r/>
      <w:bookmarkStart w:id="823" w:name="_Toc480942349"/>
      <w:r/>
      <w:bookmarkStart w:id="824" w:name="_Toc195842921"/>
      <w:r/>
      <w:bookmarkStart w:id="825" w:name="_Toc142311058"/>
      <w:r/>
      <w:bookmarkStart w:id="826" w:name="_Toc226965746"/>
      <w:r/>
      <w:bookmarkStart w:id="827" w:name="_Toc226965829"/>
      <w:r/>
      <w:bookmarkStart w:id="828" w:name="_Toc226309800"/>
      <w:r>
        <w:rPr>
          <w:rFonts w:hint="eastAsia" w:ascii="宋体" w:hAnsi="宋体"/>
          <w:b/>
          <w:color w:val="000000"/>
          <w:sz w:val="32"/>
          <w:szCs w:val="32"/>
          <w:highlight w:val="none"/>
        </w:rPr>
      </w:r>
      <w:r/>
    </w:p>
    <w:p>
      <w:pPr>
        <w:pStyle w:val="1068"/>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8"/>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6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68"/>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6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8"/>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68"/>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68"/>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68"/>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68"/>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68"/>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68"/>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68"/>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6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6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6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6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68"/>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68"/>
        <w:jc w:val="left"/>
        <w:widowControl/>
        <w:rPr>
          <w:rFonts w:hint="eastAsia" w:ascii="宋体" w:hAnsi="宋体"/>
          <w:b/>
          <w:color w:val="000000"/>
          <w:sz w:val="24"/>
          <w:highlight w:val="none"/>
        </w:rPr>
      </w:pPr>
      <w:r/>
      <w:bookmarkStart w:id="829" w:name="_Hlt520355938"/>
      <w:r/>
      <w:bookmarkEnd w:id="829"/>
      <w:r/>
      <w:bookmarkStart w:id="830" w:name="_Hlt520356243"/>
      <w:r/>
      <w:bookmarkEnd w:id="830"/>
      <w:r>
        <w:rPr>
          <w:rFonts w:ascii="宋体" w:hAnsi="宋体"/>
          <w:color w:val="000000"/>
          <w:sz w:val="24"/>
          <w:highlight w:val="none"/>
        </w:rPr>
        <w:br w:type="page" w:clear="all"/>
      </w:r>
      <w:r>
        <w:rPr>
          <w:rFonts w:hint="eastAsia" w:ascii="宋体" w:hAnsi="宋体"/>
          <w:b/>
          <w:color w:val="000000"/>
          <w:sz w:val="24"/>
          <w:highlight w:val="none"/>
        </w:rPr>
      </w:r>
      <w:r/>
    </w:p>
    <w:p>
      <w:pPr>
        <w:pStyle w:val="1068"/>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6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68"/>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68"/>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68"/>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68"/>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68"/>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68"/>
        <w:spacing w:line="560" w:lineRule="exact"/>
        <w:rPr>
          <w:rFonts w:ascii="宋体" w:hAnsi="宋体"/>
          <w:color w:val="000000"/>
          <w:sz w:val="24"/>
          <w:highlight w:val="none"/>
        </w:rPr>
      </w:pPr>
      <w:r>
        <w:rPr>
          <w:rFonts w:ascii="宋体" w:hAnsi="宋体"/>
          <w:color w:val="000000"/>
          <w:sz w:val="24"/>
          <w:highlight w:val="none"/>
        </w:rPr>
      </w:r>
      <w:r/>
    </w:p>
    <w:p>
      <w:pPr>
        <w:pStyle w:val="1099"/>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6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68"/>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68"/>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68"/>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6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8"/>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6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68"/>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6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8"/>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68"/>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0"/>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68"/>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68"/>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68"/>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6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6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46"/>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68"/>
        <w:spacing w:line="400" w:lineRule="exact"/>
        <w:rPr>
          <w:rFonts w:ascii="宋体" w:hAnsi="宋体" w:cs="宋体"/>
          <w:color w:val="000000"/>
          <w:sz w:val="24"/>
          <w:highlight w:val="none"/>
        </w:rPr>
      </w:pPr>
      <w:r>
        <w:rPr>
          <w:rFonts w:ascii="宋体" w:hAnsi="宋体" w:cs="宋体"/>
          <w:color w:val="000000"/>
          <w:sz w:val="24"/>
          <w:highlight w:val="none"/>
        </w:rPr>
      </w:r>
      <w:r/>
    </w:p>
    <w:p>
      <w:pPr>
        <w:pStyle w:val="1099"/>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6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99"/>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6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6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6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0"/>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6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8"/>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68"/>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8"/>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68"/>
        <w:ind w:firstLine="640"/>
        <w:rPr>
          <w:rFonts w:ascii="宋体" w:hAnsi="宋体"/>
          <w:color w:val="000000"/>
          <w:highlight w:val="none"/>
        </w:rPr>
      </w:pPr>
      <w:r>
        <w:rPr>
          <w:rFonts w:ascii="宋体" w:hAnsi="宋体"/>
          <w:color w:val="000000"/>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5"/>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8"/>
        <w:spacing w:line="360" w:lineRule="auto"/>
        <w:rPr>
          <w:rFonts w:ascii="宋体" w:hAnsi="宋体"/>
          <w:b/>
          <w:color w:val="000000"/>
          <w:sz w:val="24"/>
          <w:szCs w:val="20"/>
          <w:highlight w:val="none"/>
        </w:rPr>
        <w:outlineLvl w:val="2"/>
      </w:pPr>
      <w:r/>
      <w:bookmarkStart w:id="831" w:name="_Hlt520355504"/>
      <w:r/>
      <w:bookmarkEnd w:id="831"/>
      <w:r/>
      <w:bookmarkStart w:id="832" w:name="_Hlt520274393"/>
      <w:r/>
      <w:bookmarkEnd w:id="832"/>
      <w:r/>
      <w:bookmarkStart w:id="833" w:name="_Hlt520274407"/>
      <w:r/>
      <w:bookmarkEnd w:id="833"/>
      <w:r/>
      <w:bookmarkStart w:id="834" w:name="_Hlt520273711"/>
      <w:r/>
      <w:bookmarkEnd w:id="834"/>
      <w:r/>
      <w:bookmarkStart w:id="835" w:name="_Hlt520343000"/>
      <w:r/>
      <w:bookmarkEnd w:id="835"/>
      <w:r/>
      <w:bookmarkStart w:id="836" w:name="_Hlt520350918"/>
      <w:r/>
      <w:bookmarkEnd w:id="836"/>
      <w:r/>
      <w:bookmarkStart w:id="837" w:name="_Hlt520343392"/>
      <w:r/>
      <w:bookmarkEnd w:id="837"/>
      <w:r/>
      <w:bookmarkStart w:id="838" w:name="_Hlt520274121"/>
      <w:r/>
      <w:bookmarkEnd w:id="838"/>
      <w:r/>
      <w:bookmarkStart w:id="839" w:name="_Hlt520274065"/>
      <w:r/>
      <w:bookmarkEnd w:id="839"/>
      <w:r/>
      <w:bookmarkStart w:id="840" w:name="_Hlt520271212"/>
      <w:r/>
      <w:bookmarkEnd w:id="840"/>
      <w:r/>
      <w:bookmarkStart w:id="841" w:name="_Toc520356218"/>
      <w:r/>
      <w:bookmarkStart w:id="842" w:name="_Toc226309801"/>
      <w:r/>
      <w:bookmarkStart w:id="843" w:name="_Toc226965747"/>
      <w:r/>
      <w:bookmarkStart w:id="844" w:name="_Toc305158825"/>
      <w:r/>
      <w:bookmarkStart w:id="845" w:name="_Toc195842922"/>
      <w:r/>
      <w:bookmarkStart w:id="846" w:name="_Toc264969247"/>
      <w:r/>
      <w:bookmarkStart w:id="847" w:name="_Toc226337253"/>
      <w:r/>
      <w:bookmarkStart w:id="848" w:name="_Toc150480795"/>
      <w:r/>
      <w:bookmarkStart w:id="849" w:name="_Ref467988705"/>
      <w:r/>
      <w:bookmarkStart w:id="850" w:name="_Toc127151557"/>
      <w:r/>
      <w:bookmarkStart w:id="851" w:name="_Toc226965830"/>
      <w:r/>
      <w:bookmarkStart w:id="852" w:name="_Toc142311059"/>
      <w:r/>
      <w:bookmarkStart w:id="853" w:name="_Toc305158899"/>
      <w:r/>
      <w:bookmarkStart w:id="854" w:name="_Toc480942350"/>
      <w:r/>
      <w:bookmarkStart w:id="855" w:name="_Toc150774762"/>
      <w:r/>
      <w:bookmarkStart w:id="856" w:name="_Toc265228395"/>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68"/>
        <w:jc w:val="center"/>
        <w:spacing w:line="360" w:lineRule="exact"/>
        <w:rPr>
          <w:rFonts w:ascii="宋体" w:hAnsi="宋体"/>
          <w:b/>
          <w:color w:val="000000"/>
          <w:sz w:val="36"/>
          <w:szCs w:val="36"/>
          <w:highlight w:val="none"/>
        </w:rPr>
      </w:pPr>
      <w:r/>
      <w:bookmarkStart w:id="857" w:name="_Toc226337254"/>
      <w:r/>
      <w:bookmarkStart w:id="858" w:name="_Toc226965831"/>
      <w:r/>
      <w:bookmarkStart w:id="859" w:name="_Toc265228396"/>
      <w:r/>
      <w:bookmarkStart w:id="860" w:name="_Toc305158826"/>
      <w:r/>
      <w:bookmarkStart w:id="861" w:name="_Toc226965748"/>
      <w:r/>
      <w:bookmarkStart w:id="862" w:name="_Toc264969248"/>
      <w:r/>
      <w:bookmarkStart w:id="863" w:name="_Toc226309802"/>
      <w:r/>
      <w:bookmarkStart w:id="864" w:name="_Toc164608672"/>
      <w:r/>
      <w:bookmarkStart w:id="865" w:name="_Toc305158900"/>
      <w:r/>
      <w:bookmarkStart w:id="866" w:name="_Toc195842923"/>
      <w:r/>
      <w:bookmarkStart w:id="867" w:name="_Toc164608827"/>
      <w:r>
        <w:rPr>
          <w:rFonts w:hint="eastAsia" w:ascii="宋体" w:hAnsi="宋体"/>
          <w:b/>
          <w:color w:val="000000"/>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color w:val="000000"/>
          <w:sz w:val="36"/>
          <w:szCs w:val="36"/>
          <w:highlight w:val="none"/>
        </w:rPr>
      </w:r>
      <w:r/>
    </w:p>
    <w:p>
      <w:pPr>
        <w:pStyle w:val="1068"/>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68"/>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6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6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6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6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6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6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6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6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6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6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68"/>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68"/>
        <w:jc w:val="left"/>
        <w:rPr>
          <w:rFonts w:ascii="宋体" w:hAnsi="宋体"/>
          <w:color w:val="000000"/>
          <w:sz w:val="24"/>
          <w:highlight w:val="none"/>
        </w:rPr>
      </w:pPr>
      <w:r>
        <w:rPr>
          <w:rFonts w:ascii="宋体" w:hAnsi="宋体"/>
          <w:color w:val="000000"/>
          <w:sz w:val="24"/>
          <w:highlight w:val="none"/>
        </w:rPr>
      </w:r>
      <w:r/>
    </w:p>
    <w:p>
      <w:pPr>
        <w:pStyle w:val="1068"/>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68"/>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8"/>
        <w:spacing w:line="360" w:lineRule="auto"/>
        <w:rPr>
          <w:rFonts w:ascii="宋体" w:hAnsi="宋体"/>
          <w:b/>
          <w:color w:val="000000"/>
          <w:sz w:val="24"/>
          <w:szCs w:val="20"/>
          <w:highlight w:val="none"/>
        </w:rPr>
        <w:outlineLvl w:val="2"/>
      </w:pPr>
      <w:r/>
      <w:bookmarkStart w:id="868" w:name="_Toc305158827"/>
      <w:r/>
      <w:bookmarkStart w:id="869" w:name="_Toc195842924"/>
      <w:r/>
      <w:bookmarkStart w:id="870" w:name="_Toc142311060"/>
      <w:r/>
      <w:bookmarkStart w:id="871" w:name="_Toc150774763"/>
      <w:r/>
      <w:bookmarkStart w:id="872" w:name="_Toc305158901"/>
      <w:r/>
      <w:bookmarkStart w:id="873" w:name="_Toc226965832"/>
      <w:r/>
      <w:bookmarkStart w:id="874" w:name="_Toc226965749"/>
      <w:r/>
      <w:bookmarkStart w:id="875" w:name="_Toc127151558"/>
      <w:r/>
      <w:bookmarkStart w:id="876" w:name="_Toc264969249"/>
      <w:r/>
      <w:bookmarkStart w:id="877" w:name="_Toc226309803"/>
      <w:r/>
      <w:bookmarkStart w:id="878" w:name="_Toc265228397"/>
      <w:r/>
      <w:bookmarkStart w:id="879" w:name="_Toc226337255"/>
      <w:r/>
      <w:bookmarkStart w:id="880" w:name="_Toc150480796"/>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68"/>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68"/>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68"/>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68"/>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p>
      <w:pPr>
        <w:pStyle w:val="1068"/>
        <w:jc w:val="left"/>
        <w:tabs>
          <w:tab w:val="left" w:pos="1800" w:leader="none"/>
          <w:tab w:val="left" w:pos="5580" w:leader="none"/>
        </w:tabs>
        <w:rPr>
          <w:rFonts w:hint="eastAsia" w:ascii="宋体" w:hAnsi="宋体"/>
          <w:color w:val="000000"/>
          <w:sz w:val="24"/>
          <w:highlight w:val="none"/>
        </w:rPr>
      </w:pPr>
      <w:r/>
      <w:bookmarkStart w:id="881" w:name="_Toc195842927"/>
      <w:r/>
      <w:bookmarkStart w:id="882" w:name="_Toc265228400"/>
      <w:r/>
      <w:bookmarkStart w:id="883" w:name="_Toc264969252"/>
      <w:r/>
      <w:bookmarkStart w:id="884" w:name="_Toc226965835"/>
      <w:r/>
      <w:bookmarkStart w:id="885" w:name="_Toc127151562"/>
      <w:r/>
      <w:bookmarkStart w:id="886" w:name="_Toc226965752"/>
      <w:r/>
      <w:bookmarkStart w:id="887" w:name="_Toc142311062"/>
      <w:r/>
      <w:bookmarkStart w:id="888" w:name="_Toc226337258"/>
      <w:r/>
      <w:bookmarkStart w:id="889" w:name="_Toc150774765"/>
      <w:r/>
      <w:bookmarkStart w:id="890" w:name="_Toc305158904"/>
      <w:r/>
      <w:bookmarkStart w:id="891" w:name="_Toc150480798"/>
      <w:r/>
      <w:bookmarkStart w:id="892" w:name="_Toc305158830"/>
      <w:r/>
      <w:bookmarkStart w:id="893" w:name="_Toc226309806"/>
      <w:r/>
      <w:bookmarkStart w:id="894" w:name="_Toc142311061"/>
      <w:r/>
      <w:bookmarkStart w:id="895" w:name="_Toc226309805"/>
      <w:r/>
      <w:bookmarkStart w:id="896" w:name="_Toc226337257"/>
      <w:r/>
      <w:bookmarkStart w:id="897" w:name="_Toc305158829"/>
      <w:r/>
      <w:bookmarkStart w:id="898" w:name="_Toc264969251"/>
      <w:r/>
      <w:bookmarkStart w:id="899" w:name="_Toc150774764"/>
      <w:r/>
      <w:bookmarkStart w:id="900" w:name="_Toc226965834"/>
      <w:r/>
      <w:bookmarkStart w:id="901" w:name="_Toc265228399"/>
      <w:r/>
      <w:bookmarkStart w:id="902" w:name="_Toc195842926"/>
      <w:r/>
      <w:bookmarkStart w:id="903" w:name="_Toc127151561"/>
      <w:r/>
      <w:bookmarkStart w:id="904" w:name="_Toc305158903"/>
      <w:r/>
      <w:bookmarkStart w:id="905" w:name="_Toc226965751"/>
      <w:r/>
      <w:bookmarkStart w:id="906" w:name="_Toc150480797"/>
      <w:r>
        <w:rPr>
          <w:rFonts w:hint="eastAsia" w:ascii="宋体" w:hAnsi="宋体"/>
          <w:color w:val="000000"/>
          <w:sz w:val="24"/>
          <w:highlight w:val="none"/>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2391"/>
        <w:gridCol w:w="3497"/>
        <w:gridCol w:w="919"/>
        <w:gridCol w:w="1072"/>
      </w:tblGrid>
      <w:tr>
        <w:trPr>
          <w:cantSplit/>
          <w:trHeight w:val="285"/>
        </w:trPr>
        <w:tc>
          <w:tcPr>
            <w:tcW w:w="771" w:type="dxa"/>
            <w:vAlign w:val="center"/>
            <w:vMerge w:val="restart"/>
            <w:textDirection w:val="lrTb"/>
            <w:noWrap w:val="false"/>
          </w:tcPr>
          <w:p>
            <w:pPr>
              <w:pStyle w:val="106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2391" w:type="dxa"/>
            <w:vAlign w:val="center"/>
            <w:vMerge w:val="restart"/>
            <w:textDirection w:val="lrTb"/>
            <w:noWrap w:val="false"/>
          </w:tcPr>
          <w:p>
            <w:pPr>
              <w:pStyle w:val="106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检测项目</w:t>
            </w:r>
            <w:r>
              <w:rPr>
                <w:rFonts w:ascii="宋体" w:hAnsi="宋体" w:cs="Arial"/>
                <w:color w:val="000000"/>
                <w:sz w:val="24"/>
                <w:highlight w:val="none"/>
              </w:rPr>
            </w:r>
            <w:r/>
          </w:p>
        </w:tc>
        <w:tc>
          <w:tcPr>
            <w:tcW w:w="3497" w:type="dxa"/>
            <w:vAlign w:val="center"/>
            <w:vMerge w:val="restart"/>
            <w:textDirection w:val="lrTb"/>
            <w:noWrap w:val="false"/>
          </w:tcPr>
          <w:p>
            <w:pPr>
              <w:pStyle w:val="1068"/>
              <w:jc w:val="center"/>
              <w:spacing w:line="360" w:lineRule="auto"/>
              <w:widowControl/>
              <w:rPr>
                <w:rFonts w:ascii="宋体" w:hAnsi="宋体" w:cs="Arial"/>
                <w:color w:val="000000"/>
                <w:sz w:val="24"/>
                <w:highlight w:val="none"/>
              </w:rPr>
            </w:pPr>
            <w:r>
              <w:rPr>
                <w:rFonts w:hint="eastAsia" w:ascii="宋体" w:hAnsi="宋体" w:cs="宋体"/>
                <w:color w:val="000000"/>
                <w:sz w:val="24"/>
                <w:highlight w:val="none"/>
              </w:rPr>
              <w:t xml:space="preserve">工程量（点）</w:t>
            </w:r>
            <w:r>
              <w:rPr>
                <w:rFonts w:ascii="宋体" w:hAnsi="宋体" w:cs="Arial"/>
                <w:color w:val="000000"/>
                <w:sz w:val="24"/>
                <w:highlight w:val="none"/>
              </w:rPr>
            </w:r>
            <w:r/>
          </w:p>
        </w:tc>
        <w:tc>
          <w:tcPr>
            <w:gridSpan w:val="2"/>
            <w:tcW w:w="1991" w:type="dxa"/>
            <w:vAlign w:val="center"/>
            <w:textDirection w:val="lrTb"/>
            <w:noWrap w:val="false"/>
          </w:tcPr>
          <w:p>
            <w:pPr>
              <w:pStyle w:val="106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771" w:type="dxa"/>
            <w:vAlign w:val="center"/>
            <w:vMerge w:val="continue"/>
            <w:textDirection w:val="lrTb"/>
            <w:noWrap w:val="false"/>
          </w:tcPr>
          <w:p>
            <w:pPr>
              <w:pStyle w:val="1068"/>
              <w:jc w:val="center"/>
              <w:widowControl/>
              <w:rPr>
                <w:rFonts w:ascii="宋体" w:hAnsi="宋体" w:cs="Arial"/>
                <w:color w:val="000000"/>
                <w:sz w:val="24"/>
                <w:highlight w:val="none"/>
              </w:rPr>
            </w:pPr>
            <w:r>
              <w:rPr>
                <w:rFonts w:ascii="宋体" w:hAnsi="宋体" w:cs="Arial"/>
                <w:color w:val="000000"/>
                <w:sz w:val="24"/>
                <w:highlight w:val="none"/>
              </w:rPr>
            </w:r>
            <w:r/>
          </w:p>
        </w:tc>
        <w:tc>
          <w:tcPr>
            <w:tcW w:w="2391" w:type="dxa"/>
            <w:vAlign w:val="center"/>
            <w:vMerge w:val="continue"/>
            <w:textDirection w:val="lrTb"/>
            <w:noWrap w:val="false"/>
          </w:tcPr>
          <w:p>
            <w:pPr>
              <w:pStyle w:val="1068"/>
              <w:jc w:val="center"/>
              <w:widowControl/>
              <w:rPr>
                <w:rFonts w:ascii="宋体" w:hAnsi="宋体" w:cs="Arial"/>
                <w:color w:val="000000"/>
                <w:sz w:val="24"/>
                <w:highlight w:val="none"/>
              </w:rPr>
            </w:pPr>
            <w:r>
              <w:rPr>
                <w:rFonts w:ascii="宋体" w:hAnsi="宋体" w:cs="Arial"/>
                <w:color w:val="000000"/>
                <w:sz w:val="24"/>
                <w:highlight w:val="none"/>
              </w:rPr>
            </w:r>
            <w:r/>
          </w:p>
        </w:tc>
        <w:tc>
          <w:tcPr>
            <w:tcW w:w="3497" w:type="dxa"/>
            <w:vAlign w:val="center"/>
            <w:vMerge w:val="continue"/>
            <w:textDirection w:val="lrTb"/>
            <w:noWrap w:val="false"/>
          </w:tcPr>
          <w:p>
            <w:pPr>
              <w:pStyle w:val="1068"/>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6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6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644"/>
        </w:trPr>
        <w:tc>
          <w:tcPr>
            <w:tcW w:w="771" w:type="dxa"/>
            <w:vAlign w:val="center"/>
            <w:textDirection w:val="lrTb"/>
            <w:noWrap w:val="false"/>
          </w:tcPr>
          <w:p>
            <w:pPr>
              <w:pStyle w:val="106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2391" w:type="dxa"/>
            <w:vAlign w:val="center"/>
            <w:textDirection w:val="lrTb"/>
            <w:noWrap w:val="false"/>
          </w:tcPr>
          <w:p>
            <w:pPr>
              <w:pStyle w:val="1068"/>
              <w:jc w:val="center"/>
              <w:spacing w:line="360" w:lineRule="exact"/>
              <w:widowControl/>
              <w:rPr>
                <w:rFonts w:ascii="宋体" w:hAnsi="宋体" w:cs="Arial"/>
                <w:b/>
                <w:bCs/>
                <w:color w:val="000000"/>
                <w:sz w:val="24"/>
                <w:highlight w:val="none"/>
              </w:rPr>
            </w:pPr>
            <w:r>
              <w:rPr>
                <w:rFonts w:hint="eastAsia" w:ascii="宋体" w:hAnsi="宋体" w:cs="宋体"/>
                <w:color w:val="000000"/>
                <w:sz w:val="24"/>
                <w:highlight w:val="none"/>
              </w:rPr>
              <w:t xml:space="preserve">浅层平板载荷试验</w:t>
            </w:r>
            <w:r>
              <w:rPr>
                <w:rFonts w:ascii="宋体" w:hAnsi="宋体" w:cs="Arial"/>
                <w:b/>
                <w:bCs/>
                <w:color w:val="000000"/>
                <w:sz w:val="24"/>
                <w:highlight w:val="none"/>
              </w:rPr>
            </w:r>
            <w:r/>
          </w:p>
        </w:tc>
        <w:tc>
          <w:tcPr>
            <w:tcW w:w="3497" w:type="dxa"/>
            <w:vAlign w:val="center"/>
            <w:textDirection w:val="lrTb"/>
            <w:noWrap w:val="false"/>
          </w:tcPr>
          <w:p>
            <w:pPr>
              <w:pStyle w:val="106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800</w:t>
            </w:r>
            <w:r>
              <w:rPr>
                <w:rFonts w:ascii="宋体" w:hAnsi="宋体" w:cs="Arial"/>
                <w:color w:val="000000"/>
                <w:sz w:val="24"/>
                <w:highlight w:val="none"/>
              </w:rPr>
            </w:r>
            <w:r/>
          </w:p>
        </w:tc>
        <w:tc>
          <w:tcPr>
            <w:tcW w:w="919" w:type="dxa"/>
            <w:vAlign w:val="center"/>
            <w:textDirection w:val="lrTb"/>
            <w:noWrap w:val="false"/>
          </w:tcPr>
          <w:p>
            <w:pPr>
              <w:pStyle w:val="106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6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1068"/>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6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68"/>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68"/>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3.上述各项的</w:t>
      </w:r>
      <w:r>
        <w:rPr>
          <w:rFonts w:hint="eastAsia" w:ascii="宋体" w:hAnsi="宋体"/>
          <w:color w:val="000000"/>
          <w:sz w:val="24"/>
          <w:highlight w:val="none"/>
        </w:rPr>
        <w:t xml:space="preserve">服务内容如表格中填写不下的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8"/>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6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68"/>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6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68"/>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68"/>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68"/>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68"/>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bl>
    <w:p>
      <w:pPr>
        <w:pStyle w:val="106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6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6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6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6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8"/>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68"/>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68"/>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68"/>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bl>
    <w:p>
      <w:pPr>
        <w:pStyle w:val="1068"/>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6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6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6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6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6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68"/>
        <w:rPr>
          <w:rFonts w:ascii="宋体" w:hAnsi="宋体"/>
          <w:color w:val="000000"/>
          <w:sz w:val="24"/>
          <w:szCs w:val="20"/>
          <w:highlight w:val="none"/>
        </w:rPr>
      </w:pPr>
      <w:r>
        <w:rPr>
          <w:rFonts w:ascii="宋体" w:hAnsi="宋体"/>
          <w:color w:val="000000"/>
          <w:sz w:val="24"/>
          <w:szCs w:val="20"/>
          <w:highlight w:val="none"/>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8"/>
        <w:spacing w:line="360" w:lineRule="auto"/>
        <w:rPr>
          <w:rFonts w:ascii="宋体" w:hAnsi="宋体"/>
          <w:b/>
          <w:color w:val="000000"/>
          <w:sz w:val="24"/>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highlight w:val="none"/>
        </w:rPr>
      </w:r>
      <w:r/>
    </w:p>
    <w:p>
      <w:pPr>
        <w:pStyle w:val="106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详见评标标准</w:t>
      </w:r>
      <w:r>
        <w:rPr>
          <w:rFonts w:ascii="宋体" w:hAnsi="宋体"/>
          <w:color w:val="000000"/>
          <w:sz w:val="24"/>
          <w:szCs w:val="20"/>
          <w:highlight w:val="none"/>
        </w:rPr>
      </w:r>
      <w:r/>
    </w:p>
    <w:p>
      <w:pPr>
        <w:pStyle w:val="1068"/>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w:t>
      </w:r>
      <w:r>
        <w:rPr>
          <w:rFonts w:ascii="宋体" w:hAnsi="宋体"/>
          <w:b/>
          <w:color w:val="000000"/>
          <w:sz w:val="24"/>
          <w:highlight w:val="none"/>
        </w:rPr>
        <w:t xml:space="preserve">0</w:t>
      </w:r>
      <w:r>
        <w:rPr>
          <w:rFonts w:hint="eastAsia" w:ascii="宋体" w:hAnsi="宋体"/>
          <w:b/>
          <w:color w:val="000000"/>
          <w:sz w:val="24"/>
          <w:highlight w:val="none"/>
        </w:rPr>
        <w:t xml:space="preserve">  参加本项目人员一览表</w:t>
      </w:r>
      <w:r>
        <w:rPr>
          <w:rFonts w:ascii="宋体" w:hAnsi="宋体"/>
          <w:b/>
          <w:color w:val="000000"/>
          <w:sz w:val="24"/>
          <w:highlight w:val="none"/>
        </w:rPr>
      </w:r>
      <w:r/>
    </w:p>
    <w:p>
      <w:pPr>
        <w:pStyle w:val="106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68"/>
        <w:spacing w:line="360" w:lineRule="auto"/>
        <w:rPr>
          <w:rFonts w:ascii="宋体" w:hAnsi="宋体"/>
          <w:color w:val="000000"/>
          <w:sz w:val="22"/>
          <w:highlight w:val="none"/>
        </w:rPr>
      </w:pPr>
      <w:r>
        <w:rPr>
          <w:rFonts w:ascii="宋体" w:hAnsi="宋体"/>
          <w:color w:val="000000"/>
          <w:sz w:val="22"/>
          <w:highlight w:val="none"/>
        </w:rPr>
      </w:r>
      <w:r/>
    </w:p>
    <w:p>
      <w:pPr>
        <w:pStyle w:val="106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68"/>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68"/>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68"/>
        <w:spacing w:line="360" w:lineRule="auto"/>
        <w:rPr>
          <w:rFonts w:ascii="宋体" w:hAnsi="宋体"/>
          <w:color w:val="000000"/>
          <w:sz w:val="24"/>
          <w:highlight w:val="none"/>
        </w:rPr>
      </w:pPr>
      <w:r>
        <w:rPr>
          <w:rFonts w:ascii="宋体" w:hAnsi="宋体"/>
          <w:color w:val="000000"/>
          <w:sz w:val="24"/>
          <w:highlight w:val="none"/>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8"/>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7" w:name="_Toc288738839"/>
      <w:r/>
      <w:bookmarkStart w:id="908" w:name="_Toc288738397"/>
      <w:r>
        <w:rPr>
          <w:rFonts w:hint="eastAsia" w:ascii="宋体" w:hAnsi="宋体"/>
          <w:b/>
          <w:color w:val="000000"/>
          <w:sz w:val="24"/>
          <w:highlight w:val="none"/>
        </w:rPr>
        <w:t xml:space="preserve">1</w:t>
      </w:r>
      <w:r>
        <w:rPr>
          <w:rFonts w:ascii="宋体" w:hAnsi="宋体"/>
          <w:b/>
          <w:color w:val="000000"/>
          <w:sz w:val="24"/>
          <w:highlight w:val="none"/>
        </w:rPr>
        <w:t xml:space="preserve">1</w:t>
      </w:r>
      <w:r>
        <w:rPr>
          <w:rFonts w:hint="eastAsia" w:ascii="宋体" w:hAnsi="宋体"/>
          <w:b/>
          <w:color w:val="000000"/>
          <w:sz w:val="24"/>
          <w:highlight w:val="none"/>
        </w:rPr>
        <w:t xml:space="preserve">  相关业绩案例一览表</w:t>
      </w:r>
      <w:r>
        <w:rPr>
          <w:rFonts w:ascii="宋体" w:hAnsi="宋体"/>
          <w:b/>
          <w:color w:val="000000"/>
          <w:sz w:val="24"/>
          <w:szCs w:val="20"/>
          <w:highlight w:val="none"/>
        </w:rPr>
      </w:r>
      <w:r/>
    </w:p>
    <w:p>
      <w:pPr>
        <w:pStyle w:val="1068"/>
        <w:rPr>
          <w:rFonts w:ascii="宋体" w:hAnsi="宋体"/>
          <w:color w:val="000000"/>
          <w:sz w:val="24"/>
          <w:szCs w:val="20"/>
          <w:highlight w:val="none"/>
        </w:rPr>
      </w:pPr>
      <w:r>
        <w:rPr>
          <w:rFonts w:ascii="宋体" w:hAnsi="宋体"/>
          <w:color w:val="000000"/>
          <w:sz w:val="24"/>
          <w:szCs w:val="20"/>
          <w:highlight w:val="none"/>
        </w:rPr>
      </w:r>
      <w:r/>
    </w:p>
    <w:p>
      <w:pPr>
        <w:pStyle w:val="1068"/>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7"/>
      <w:r/>
      <w:bookmarkEnd w:id="908"/>
      <w:r>
        <w:rPr>
          <w:rFonts w:ascii="宋体" w:hAnsi="宋体"/>
          <w:b/>
          <w:color w:val="000000"/>
          <w:sz w:val="32"/>
          <w:szCs w:val="32"/>
          <w:highlight w:val="none"/>
        </w:rPr>
      </w:r>
      <w:r/>
    </w:p>
    <w:p>
      <w:pPr>
        <w:pStyle w:val="1068"/>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68"/>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68"/>
        <w:spacing w:line="360" w:lineRule="auto"/>
        <w:rPr>
          <w:rFonts w:ascii="宋体" w:hAnsi="宋体" w:cs="宋体"/>
          <w:color w:val="000000"/>
          <w:sz w:val="24"/>
          <w:highlight w:val="none"/>
        </w:rPr>
      </w:pPr>
      <w:r>
        <w:rPr>
          <w:rFonts w:ascii="宋体" w:hAnsi="宋体" w:cs="宋体"/>
          <w:color w:val="000000"/>
          <w:sz w:val="24"/>
          <w:highlight w:val="none"/>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8"/>
        <w:spacing w:line="360" w:lineRule="auto"/>
        <w:rPr>
          <w:rFonts w:ascii="宋体" w:hAnsi="宋体"/>
          <w:color w:val="000000"/>
          <w:highlight w:val="none"/>
        </w:rPr>
        <w:outlineLvl w:val="2"/>
      </w:pPr>
      <w:r>
        <w:rPr>
          <w:rFonts w:ascii="宋体" w:hAnsi="宋体"/>
          <w:color w:val="000000"/>
          <w:highlight w:val="none"/>
        </w:rPr>
      </w:r>
      <w:r/>
    </w:p>
    <w:p>
      <w:pPr>
        <w:pStyle w:val="1068"/>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w:t>
      </w:r>
      <w:r>
        <w:rPr>
          <w:rFonts w:ascii="宋体" w:hAnsi="宋体"/>
          <w:b/>
          <w:color w:val="000000"/>
          <w:sz w:val="24"/>
          <w:highlight w:val="none"/>
        </w:rPr>
        <w:t xml:space="preserve">2 </w:t>
      </w:r>
      <w:r>
        <w:rPr>
          <w:rFonts w:hint="eastAsia" w:ascii="宋体" w:hAnsi="宋体"/>
          <w:b/>
          <w:color w:val="000000"/>
          <w:sz w:val="24"/>
          <w:highlight w:val="none"/>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highlight w:val="none"/>
        </w:rPr>
      </w:r>
      <w:r/>
    </w:p>
    <w:p>
      <w:pPr>
        <w:pStyle w:val="1068"/>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68"/>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68"/>
        <w:jc w:val="center"/>
        <w:rPr>
          <w:rFonts w:hint="eastAsia" w:ascii="宋体" w:hAnsi="宋体" w:cs="黑体"/>
          <w:b/>
          <w:color w:val="000000"/>
          <w:sz w:val="32"/>
          <w:highlight w:val="none"/>
        </w:rPr>
      </w:pPr>
      <w:r>
        <w:rPr>
          <w:rFonts w:hint="eastAsia" w:ascii="宋体" w:hAnsi="宋体" w:cs="黑体"/>
          <w:b/>
          <w:color w:val="000000"/>
          <w:sz w:val="32"/>
          <w:highlight w:val="none"/>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等线">
    <w:panose1 w:val="0201060003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right="360"/>
      <w:tabs>
        <w:tab w:val="center" w:pos="4153" w:leader="none"/>
        <w:tab w:val="right" w:pos="8306" w:leader="none"/>
      </w:tabs>
      <w:rPr>
        <w:rStyle w:val="1140"/>
      </w:rPr>
      <w:framePr w:wrap="around" w:vAnchor="text" w:hAnchor="margin" w:y="1"/>
    </w:pPr>
    <w:r>
      <w:rPr>
        <w:rStyle w:val="1140"/>
      </w:rPr>
    </w:r>
    <w:r/>
  </w:p>
  <w:p>
    <w:pPr>
      <w:pStyle w:val="1116"/>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rPr>
        <w:rStyle w:val="1140"/>
      </w:rPr>
      <w:framePr w:wrap="around" w:vAnchor="text" w:hAnchor="margin" w:xAlign="center" w:y="1"/>
    </w:pPr>
    <w:r>
      <w:fldChar w:fldCharType="begin"/>
    </w:r>
    <w:r>
      <w:rPr>
        <w:rStyle w:val="1140"/>
      </w:rPr>
      <w:instrText xml:space="preserve">PAGE  </w:instrText>
    </w:r>
    <w:r>
      <w:fldChar w:fldCharType="end"/>
    </w:r>
    <w:r>
      <w:rPr>
        <w:rStyle w:val="1140"/>
      </w:rPr>
    </w:r>
    <w:r/>
  </w:p>
  <w:p>
    <w:pPr>
      <w:pStyle w:val="111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rPr>
        <w:rStyle w:val="1140"/>
      </w:rPr>
      <w:framePr w:wrap="around" w:vAnchor="text" w:hAnchor="margin" w:xAlign="right" w:y="1"/>
    </w:pPr>
    <w:r>
      <w:rPr>
        <w:rStyle w:val="1140"/>
      </w:rPr>
    </w:r>
    <w:r/>
  </w:p>
  <w:p>
    <w:pPr>
      <w:pStyle w:val="1116"/>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rPr>
        <w:rStyle w:val="1140"/>
      </w:rPr>
      <w:framePr w:wrap="around" w:vAnchor="text" w:hAnchor="margin" w:xAlign="right" w:y="1"/>
    </w:pPr>
    <w:r>
      <w:rPr>
        <w:rStyle w:val="1140"/>
      </w:rPr>
      <w:fldChar w:fldCharType="begin"/>
    </w:r>
    <w:r>
      <w:rPr>
        <w:rStyle w:val="1140"/>
      </w:rPr>
      <w:instrText xml:space="preserve">PAGE  </w:instrText>
    </w:r>
    <w:r>
      <w:rPr>
        <w:rStyle w:val="1140"/>
      </w:rPr>
      <w:fldChar w:fldCharType="end"/>
    </w:r>
    <w:r>
      <w:rPr>
        <w:rStyle w:val="1140"/>
      </w:rPr>
    </w:r>
    <w:r/>
  </w:p>
  <w:p>
    <w:pPr>
      <w:pStyle w:val="1116"/>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rPr>
        <w:rStyle w:val="1140"/>
      </w:rPr>
      <w:framePr w:wrap="around" w:vAnchor="text" w:hAnchor="margin" w:xAlign="right" w:y="1"/>
    </w:pPr>
    <w:r>
      <w:rPr>
        <w:rStyle w:val="1140"/>
      </w:rPr>
      <w:fldChar w:fldCharType="begin"/>
    </w:r>
    <w:r>
      <w:rPr>
        <w:rStyle w:val="1140"/>
      </w:rPr>
      <w:instrText xml:space="preserve">PAGE  </w:instrText>
    </w:r>
    <w:r>
      <w:rPr>
        <w:rStyle w:val="1140"/>
      </w:rPr>
      <w:fldChar w:fldCharType="end"/>
    </w:r>
    <w:r>
      <w:rPr>
        <w:rStyle w:val="1140"/>
      </w:rPr>
    </w:r>
    <w:r/>
  </w:p>
  <w:p>
    <w:pPr>
      <w:pStyle w:val="1116"/>
      <w:ind w:right="360"/>
      <w:tabs>
        <w:tab w:val="center" w:pos="4153" w:leader="none"/>
        <w:tab w:val="right" w:pos="8306" w:leader="none"/>
      </w:tabs>
    </w:pPr>
    <w:r/>
    <w:r/>
  </w:p>
  <w:p>
    <w:pPr>
      <w:pStyle w:val="106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p>
    <w:pPr>
      <w:pStyle w:val="106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68"/>
        <w:ind w:left="4941" w:hanging="1140"/>
        <w:tabs>
          <w:tab w:val="num" w:pos="4941" w:leader="none"/>
        </w:tabs>
      </w:pPr>
      <w:rPr>
        <w:rFonts w:hint="eastAsia"/>
      </w:rPr>
    </w:lvl>
    <w:lvl w:ilvl="1">
      <w:start w:val="1"/>
      <w:numFmt w:val="lowerLetter"/>
      <w:isLgl w:val="false"/>
      <w:suff w:val="tab"/>
      <w:lvlText w:val="%2)"/>
      <w:lvlJc w:val="left"/>
      <w:pPr>
        <w:pStyle w:val="1068"/>
        <w:ind w:left="4641" w:hanging="420"/>
        <w:tabs>
          <w:tab w:val="num" w:pos="4641" w:leader="none"/>
        </w:tabs>
      </w:pPr>
    </w:lvl>
    <w:lvl w:ilvl="2">
      <w:start w:val="1"/>
      <w:numFmt w:val="lowerRoman"/>
      <w:isLgl w:val="false"/>
      <w:suff w:val="tab"/>
      <w:lvlText w:val="%3."/>
      <w:lvlJc w:val="right"/>
      <w:pPr>
        <w:pStyle w:val="1068"/>
        <w:ind w:left="5061" w:hanging="420"/>
        <w:tabs>
          <w:tab w:val="num" w:pos="5061" w:leader="none"/>
        </w:tabs>
      </w:pPr>
    </w:lvl>
    <w:lvl w:ilvl="3">
      <w:start w:val="1"/>
      <w:numFmt w:val="decimal"/>
      <w:isLgl w:val="false"/>
      <w:suff w:val="tab"/>
      <w:lvlText w:val="%4."/>
      <w:lvlJc w:val="left"/>
      <w:pPr>
        <w:pStyle w:val="1068"/>
        <w:ind w:left="5481" w:hanging="420"/>
        <w:tabs>
          <w:tab w:val="num" w:pos="5481" w:leader="none"/>
        </w:tabs>
      </w:pPr>
    </w:lvl>
    <w:lvl w:ilvl="4">
      <w:start w:val="1"/>
      <w:numFmt w:val="lowerLetter"/>
      <w:isLgl w:val="false"/>
      <w:suff w:val="tab"/>
      <w:lvlText w:val="%5)"/>
      <w:lvlJc w:val="left"/>
      <w:pPr>
        <w:pStyle w:val="1068"/>
        <w:ind w:left="5901" w:hanging="420"/>
        <w:tabs>
          <w:tab w:val="num" w:pos="5901" w:leader="none"/>
        </w:tabs>
      </w:pPr>
    </w:lvl>
    <w:lvl w:ilvl="5">
      <w:start w:val="1"/>
      <w:numFmt w:val="lowerRoman"/>
      <w:isLgl w:val="false"/>
      <w:suff w:val="tab"/>
      <w:lvlText w:val="%6."/>
      <w:lvlJc w:val="right"/>
      <w:pPr>
        <w:pStyle w:val="1068"/>
        <w:ind w:left="6321" w:hanging="420"/>
        <w:tabs>
          <w:tab w:val="num" w:pos="6321" w:leader="none"/>
        </w:tabs>
      </w:pPr>
    </w:lvl>
    <w:lvl w:ilvl="6">
      <w:start w:val="1"/>
      <w:numFmt w:val="decimal"/>
      <w:isLgl w:val="false"/>
      <w:suff w:val="tab"/>
      <w:lvlText w:val="%7."/>
      <w:lvlJc w:val="left"/>
      <w:pPr>
        <w:pStyle w:val="1068"/>
        <w:ind w:left="6741" w:hanging="420"/>
        <w:tabs>
          <w:tab w:val="num" w:pos="6741" w:leader="none"/>
        </w:tabs>
      </w:pPr>
    </w:lvl>
    <w:lvl w:ilvl="7">
      <w:start w:val="1"/>
      <w:numFmt w:val="lowerLetter"/>
      <w:isLgl w:val="false"/>
      <w:suff w:val="tab"/>
      <w:lvlText w:val="%8)"/>
      <w:lvlJc w:val="left"/>
      <w:pPr>
        <w:pStyle w:val="1068"/>
        <w:ind w:left="7161" w:hanging="420"/>
        <w:tabs>
          <w:tab w:val="num" w:pos="7161" w:leader="none"/>
        </w:tabs>
      </w:pPr>
    </w:lvl>
    <w:lvl w:ilvl="8">
      <w:start w:val="1"/>
      <w:numFmt w:val="lowerRoman"/>
      <w:isLgl w:val="false"/>
      <w:suff w:val="tab"/>
      <w:lvlText w:val="%9."/>
      <w:lvlJc w:val="right"/>
      <w:pPr>
        <w:pStyle w:val="1068"/>
        <w:ind w:left="7581" w:hanging="420"/>
        <w:tabs>
          <w:tab w:val="num" w:pos="7581" w:leader="none"/>
        </w:tabs>
      </w:pPr>
    </w:lvl>
  </w:abstractNum>
  <w:abstractNum w:abstractNumId="1">
    <w:multiLevelType w:val="hybridMultilevel"/>
    <w:lvl w:ilvl="0">
      <w:start w:val="1"/>
      <w:numFmt w:val="decimal"/>
      <w:pStyle w:val="1176"/>
      <w:isLgl w:val="false"/>
      <w:suff w:val="tab"/>
      <w:lvlText w:val="%1."/>
      <w:lvlJc w:val="left"/>
      <w:pPr>
        <w:pStyle w:val="1068"/>
        <w:ind w:left="420" w:hanging="420"/>
      </w:pPr>
    </w:lvl>
    <w:lvl w:ilvl="1">
      <w:start w:val="1"/>
      <w:numFmt w:val="decimal"/>
      <w:isLgl w:val="false"/>
      <w:suff w:val="tab"/>
      <w:lvlText w:val="（%2）"/>
      <w:lvlJc w:val="left"/>
      <w:pPr>
        <w:pStyle w:val="1068"/>
        <w:ind w:left="1140" w:hanging="720"/>
        <w:tabs>
          <w:tab w:val="num" w:pos="1140" w:leader="none"/>
        </w:tabs>
      </w:pPr>
      <w:rPr>
        <w:rFonts w:hint="eastAsia"/>
      </w:rPr>
    </w:lvl>
    <w:lvl w:ilvl="2">
      <w:start w:val="1"/>
      <w:numFmt w:val="lowerRoman"/>
      <w:isLgl w:val="false"/>
      <w:suff w:val="tab"/>
      <w:lvlText w:val="%3."/>
      <w:lvlJc w:val="right"/>
      <w:pPr>
        <w:pStyle w:val="1068"/>
        <w:ind w:left="1260" w:hanging="420"/>
      </w:pPr>
    </w:lvl>
    <w:lvl w:ilvl="3">
      <w:start w:val="1"/>
      <w:numFmt w:val="decimal"/>
      <w:isLgl w:val="false"/>
      <w:suff w:val="tab"/>
      <w:lvlText w:val="%4."/>
      <w:lvlJc w:val="left"/>
      <w:pPr>
        <w:pStyle w:val="1068"/>
        <w:ind w:left="1680" w:hanging="420"/>
      </w:pPr>
    </w:lvl>
    <w:lvl w:ilvl="4">
      <w:start w:val="1"/>
      <w:numFmt w:val="lowerLetter"/>
      <w:isLgl w:val="false"/>
      <w:suff w:val="tab"/>
      <w:lvlText w:val="%5)"/>
      <w:lvlJc w:val="left"/>
      <w:pPr>
        <w:pStyle w:val="1068"/>
        <w:ind w:left="2100" w:hanging="420"/>
      </w:pPr>
    </w:lvl>
    <w:lvl w:ilvl="5">
      <w:start w:val="1"/>
      <w:numFmt w:val="lowerRoman"/>
      <w:isLgl w:val="false"/>
      <w:suff w:val="tab"/>
      <w:lvlText w:val="%6."/>
      <w:lvlJc w:val="right"/>
      <w:pPr>
        <w:pStyle w:val="1068"/>
        <w:ind w:left="2520" w:hanging="420"/>
      </w:pPr>
    </w:lvl>
    <w:lvl w:ilvl="6">
      <w:start w:val="1"/>
      <w:numFmt w:val="decimal"/>
      <w:isLgl w:val="false"/>
      <w:suff w:val="tab"/>
      <w:lvlText w:val="%7."/>
      <w:lvlJc w:val="left"/>
      <w:pPr>
        <w:pStyle w:val="1068"/>
        <w:ind w:left="2940" w:hanging="420"/>
      </w:pPr>
    </w:lvl>
    <w:lvl w:ilvl="7">
      <w:start w:val="1"/>
      <w:numFmt w:val="lowerLetter"/>
      <w:isLgl w:val="false"/>
      <w:suff w:val="tab"/>
      <w:lvlText w:val="%8)"/>
      <w:lvlJc w:val="left"/>
      <w:pPr>
        <w:pStyle w:val="1068"/>
        <w:ind w:left="3360" w:hanging="420"/>
      </w:pPr>
    </w:lvl>
    <w:lvl w:ilvl="8">
      <w:start w:val="1"/>
      <w:numFmt w:val="lowerRoman"/>
      <w:isLgl w:val="false"/>
      <w:suff w:val="tab"/>
      <w:lvlText w:val="%9."/>
      <w:lvlJc w:val="right"/>
      <w:pPr>
        <w:pStyle w:val="1068"/>
        <w:ind w:left="3780" w:hanging="420"/>
      </w:pPr>
    </w:lvl>
  </w:abstractNum>
  <w:abstractNum w:abstractNumId="2">
    <w:multiLevelType w:val="hybridMultilevel"/>
    <w:lvl w:ilvl="0">
      <w:start w:val="1"/>
      <w:numFmt w:val="lowerLetter"/>
      <w:pStyle w:val="1251"/>
      <w:isLgl w:val="false"/>
      <w:suff w:val="tab"/>
      <w:lvlText w:val="%1)"/>
      <w:lvlJc w:val="left"/>
      <w:pPr>
        <w:pStyle w:val="1068"/>
        <w:ind w:left="902" w:hanging="420"/>
      </w:pPr>
      <w:rPr>
        <w:color w:val="000000"/>
      </w:rPr>
    </w:lvl>
    <w:lvl w:ilvl="1">
      <w:start w:val="1"/>
      <w:numFmt w:val="lowerLetter"/>
      <w:isLgl w:val="false"/>
      <w:suff w:val="tab"/>
      <w:lvlText w:val="%2)"/>
      <w:lvlJc w:val="left"/>
      <w:pPr>
        <w:pStyle w:val="1068"/>
        <w:ind w:left="1322" w:hanging="420"/>
      </w:pPr>
    </w:lvl>
    <w:lvl w:ilvl="2">
      <w:start w:val="1"/>
      <w:numFmt w:val="lowerRoman"/>
      <w:isLgl w:val="false"/>
      <w:suff w:val="tab"/>
      <w:lvlText w:val="%3."/>
      <w:lvlJc w:val="right"/>
      <w:pPr>
        <w:pStyle w:val="1068"/>
        <w:ind w:left="1742" w:hanging="420"/>
      </w:pPr>
    </w:lvl>
    <w:lvl w:ilvl="3">
      <w:start w:val="1"/>
      <w:numFmt w:val="decimal"/>
      <w:isLgl w:val="false"/>
      <w:suff w:val="tab"/>
      <w:lvlText w:val="%4."/>
      <w:lvlJc w:val="left"/>
      <w:pPr>
        <w:pStyle w:val="1068"/>
        <w:ind w:left="2162" w:hanging="420"/>
      </w:pPr>
    </w:lvl>
    <w:lvl w:ilvl="4">
      <w:start w:val="1"/>
      <w:numFmt w:val="lowerLetter"/>
      <w:isLgl w:val="false"/>
      <w:suff w:val="tab"/>
      <w:lvlText w:val="%5)"/>
      <w:lvlJc w:val="left"/>
      <w:pPr>
        <w:pStyle w:val="1068"/>
        <w:ind w:left="2582" w:hanging="420"/>
      </w:pPr>
    </w:lvl>
    <w:lvl w:ilvl="5">
      <w:start w:val="1"/>
      <w:numFmt w:val="lowerRoman"/>
      <w:isLgl w:val="false"/>
      <w:suff w:val="tab"/>
      <w:lvlText w:val="%6."/>
      <w:lvlJc w:val="right"/>
      <w:pPr>
        <w:pStyle w:val="1068"/>
        <w:ind w:left="3002" w:hanging="420"/>
      </w:pPr>
    </w:lvl>
    <w:lvl w:ilvl="6">
      <w:start w:val="1"/>
      <w:numFmt w:val="decimal"/>
      <w:isLgl w:val="false"/>
      <w:suff w:val="tab"/>
      <w:lvlText w:val="%7."/>
      <w:lvlJc w:val="left"/>
      <w:pPr>
        <w:pStyle w:val="1068"/>
        <w:ind w:left="3422" w:hanging="420"/>
      </w:pPr>
    </w:lvl>
    <w:lvl w:ilvl="7">
      <w:start w:val="1"/>
      <w:numFmt w:val="lowerLetter"/>
      <w:isLgl w:val="false"/>
      <w:suff w:val="tab"/>
      <w:lvlText w:val="%8)"/>
      <w:lvlJc w:val="left"/>
      <w:pPr>
        <w:pStyle w:val="1068"/>
        <w:ind w:left="3842" w:hanging="420"/>
      </w:pPr>
    </w:lvl>
    <w:lvl w:ilvl="8">
      <w:start w:val="1"/>
      <w:numFmt w:val="lowerRoman"/>
      <w:isLgl w:val="false"/>
      <w:suff w:val="tab"/>
      <w:lvlText w:val="%9."/>
      <w:lvlJc w:val="right"/>
      <w:pPr>
        <w:pStyle w:val="1068"/>
        <w:ind w:left="4262" w:hanging="420"/>
      </w:pPr>
    </w:lvl>
  </w:abstractNum>
  <w:abstractNum w:abstractNumId="3">
    <w:multiLevelType w:val="hybridMultilevel"/>
    <w:lvl w:ilvl="0">
      <w:start w:val="1"/>
      <w:numFmt w:val="decimal"/>
      <w:pStyle w:val="1221"/>
      <w:isLgl w:val="false"/>
      <w:suff w:val="tab"/>
      <w:lvlText w:val="%1."/>
      <w:lvlJc w:val="left"/>
      <w:pPr>
        <w:pStyle w:val="106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0"/>
      <w:isLgl w:val="false"/>
      <w:suff w:val="nothing"/>
      <w:lvlText w:val="%1　"/>
      <w:lvlJc w:val="left"/>
      <w:pPr>
        <w:pStyle w:val="106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6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68"/>
        <w:ind w:left="-25" w:firstLine="0"/>
      </w:pPr>
      <w:rPr>
        <w:rFonts w:ascii="Times New Roman" w:hAnsi="Times New Roman" w:eastAsia="黑体"/>
        <w:b/>
        <w:i w:val="0"/>
        <w:sz w:val="28"/>
      </w:rPr>
    </w:lvl>
    <w:lvl w:ilvl="3">
      <w:start w:val="1"/>
      <w:numFmt w:val="decimal"/>
      <w:pStyle w:val="1206"/>
      <w:isLgl w:val="false"/>
      <w:suff w:val="nothing"/>
      <w:lvlText w:val="%1.%2.%3.%4　"/>
      <w:lvlJc w:val="left"/>
      <w:pPr>
        <w:pStyle w:val="106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6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68"/>
        <w:ind w:left="-25" w:firstLine="0"/>
      </w:pPr>
      <w:rPr>
        <w:rFonts w:ascii="Times New Roman" w:hAnsi="Times New Roman" w:eastAsia="宋体"/>
        <w:b/>
        <w:i w:val="0"/>
        <w:sz w:val="28"/>
      </w:rPr>
    </w:lvl>
    <w:lvl w:ilvl="6">
      <w:start w:val="1"/>
      <w:numFmt w:val="lowerLetter"/>
      <w:pStyle w:val="1227"/>
      <w:isLgl w:val="false"/>
      <w:suff w:val="tab"/>
      <w:lvlText w:val="%7) "/>
      <w:lvlJc w:val="left"/>
      <w:pPr>
        <w:pStyle w:val="1068"/>
        <w:ind w:left="-125" w:firstLine="400"/>
        <w:tabs>
          <w:tab w:val="num" w:pos="635" w:leader="none"/>
        </w:tabs>
      </w:pPr>
      <w:rPr>
        <w:rFonts w:ascii="Times New Roman" w:hAnsi="Times New Roman" w:eastAsia="宋体"/>
        <w:b/>
        <w:i w:val="0"/>
        <w:color w:val="000000"/>
        <w:sz w:val="28"/>
        <w:u w:val="none"/>
      </w:rPr>
    </w:lvl>
    <w:lvl w:ilvl="7">
      <w:start w:val="1"/>
      <w:numFmt w:val="decimal"/>
      <w:pStyle w:val="1190"/>
      <w:isLgl w:val="false"/>
      <w:suff w:val="tab"/>
      <w:lvlText w:val="%8) "/>
      <w:lvlJc w:val="left"/>
      <w:pPr>
        <w:pStyle w:val="106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68"/>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68"/>
        <w:ind w:left="768" w:hanging="360"/>
        <w:tabs>
          <w:tab w:val="num" w:pos="768" w:leader="none"/>
        </w:tabs>
      </w:pPr>
      <w:rPr>
        <w:rFonts w:hint="eastAsia"/>
      </w:rPr>
    </w:lvl>
    <w:lvl w:ilvl="1">
      <w:start w:val="1"/>
      <w:numFmt w:val="decimal"/>
      <w:pStyle w:val="1208"/>
      <w:isLgl w:val="false"/>
      <w:suff w:val="tab"/>
      <w:lvlText w:val="%2、"/>
      <w:lvlJc w:val="left"/>
      <w:pPr>
        <w:pStyle w:val="1068"/>
        <w:ind w:left="1188" w:hanging="360"/>
        <w:tabs>
          <w:tab w:val="num" w:pos="1188" w:leader="none"/>
        </w:tabs>
      </w:pPr>
      <w:rPr>
        <w:rFonts w:hint="eastAsia"/>
      </w:rPr>
    </w:lvl>
    <w:lvl w:ilvl="2">
      <w:start w:val="1"/>
      <w:numFmt w:val="decimal"/>
      <w:isLgl w:val="false"/>
      <w:suff w:val="tab"/>
      <w:lvlText w:val="（%3）"/>
      <w:lvlJc w:val="left"/>
      <w:pPr>
        <w:pStyle w:val="1068"/>
        <w:ind w:left="1968" w:hanging="720"/>
        <w:tabs>
          <w:tab w:val="num" w:pos="1968" w:leader="none"/>
        </w:tabs>
      </w:pPr>
      <w:rPr>
        <w:rFonts w:hint="eastAsia"/>
        <w:u w:val="none"/>
      </w:rPr>
    </w:lvl>
    <w:lvl w:ilvl="3">
      <w:start w:val="1"/>
      <w:numFmt w:val="decimal"/>
      <w:isLgl w:val="false"/>
      <w:suff w:val="tab"/>
      <w:lvlText w:val="%4."/>
      <w:lvlJc w:val="left"/>
      <w:pPr>
        <w:pStyle w:val="1068"/>
        <w:ind w:left="2088" w:hanging="420"/>
        <w:tabs>
          <w:tab w:val="num" w:pos="2088" w:leader="none"/>
        </w:tabs>
      </w:pPr>
    </w:lvl>
    <w:lvl w:ilvl="4">
      <w:start w:val="1"/>
      <w:numFmt w:val="lowerLetter"/>
      <w:isLgl w:val="false"/>
      <w:suff w:val="tab"/>
      <w:lvlText w:val="%5)"/>
      <w:lvlJc w:val="left"/>
      <w:pPr>
        <w:pStyle w:val="1068"/>
        <w:ind w:left="2508" w:hanging="420"/>
        <w:tabs>
          <w:tab w:val="num" w:pos="2508" w:leader="none"/>
        </w:tabs>
      </w:pPr>
    </w:lvl>
    <w:lvl w:ilvl="5">
      <w:start w:val="1"/>
      <w:numFmt w:val="lowerRoman"/>
      <w:isLgl w:val="false"/>
      <w:suff w:val="tab"/>
      <w:lvlText w:val="%6."/>
      <w:lvlJc w:val="right"/>
      <w:pPr>
        <w:pStyle w:val="1068"/>
        <w:ind w:left="2928" w:hanging="420"/>
        <w:tabs>
          <w:tab w:val="num" w:pos="2928" w:leader="none"/>
        </w:tabs>
      </w:pPr>
    </w:lvl>
    <w:lvl w:ilvl="6">
      <w:start w:val="1"/>
      <w:numFmt w:val="decimal"/>
      <w:isLgl w:val="false"/>
      <w:suff w:val="tab"/>
      <w:lvlText w:val="%7."/>
      <w:lvlJc w:val="left"/>
      <w:pPr>
        <w:pStyle w:val="1068"/>
        <w:ind w:left="3348" w:hanging="420"/>
        <w:tabs>
          <w:tab w:val="num" w:pos="3348" w:leader="none"/>
        </w:tabs>
      </w:pPr>
    </w:lvl>
    <w:lvl w:ilvl="7">
      <w:start w:val="1"/>
      <w:numFmt w:val="lowerLetter"/>
      <w:isLgl w:val="false"/>
      <w:suff w:val="tab"/>
      <w:lvlText w:val="%8)"/>
      <w:lvlJc w:val="left"/>
      <w:pPr>
        <w:pStyle w:val="1068"/>
        <w:ind w:left="3768" w:hanging="420"/>
        <w:tabs>
          <w:tab w:val="num" w:pos="3768" w:leader="none"/>
        </w:tabs>
      </w:pPr>
    </w:lvl>
    <w:lvl w:ilvl="8">
      <w:start w:val="1"/>
      <w:numFmt w:val="lowerRoman"/>
      <w:isLgl w:val="false"/>
      <w:suff w:val="tab"/>
      <w:lvlText w:val="%9."/>
      <w:lvlJc w:val="right"/>
      <w:pPr>
        <w:pStyle w:val="1068"/>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68"/>
        <w:ind w:left="900" w:hanging="900"/>
        <w:tabs>
          <w:tab w:val="num" w:pos="900" w:leader="none"/>
        </w:tabs>
      </w:pPr>
      <w:rPr>
        <w:rFonts w:hint="eastAsia"/>
        <w:b/>
      </w:rPr>
    </w:lvl>
    <w:lvl w:ilvl="1">
      <w:start w:val="1"/>
      <w:numFmt w:val="decimal"/>
      <w:isLgl w:val="false"/>
      <w:suff w:val="tab"/>
      <w:lvlText w:val="%1.%2"/>
      <w:lvlJc w:val="left"/>
      <w:pPr>
        <w:pStyle w:val="106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68"/>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68"/>
        <w:ind w:left="900" w:hanging="900"/>
        <w:tabs>
          <w:tab w:val="num" w:pos="900" w:leader="none"/>
        </w:tabs>
      </w:pPr>
      <w:rPr>
        <w:rFonts w:hint="eastAsia"/>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abstractNum w:abstractNumId="7">
    <w:multiLevelType w:val="hybridMultilevel"/>
    <w:lvl w:ilvl="0">
      <w:start w:val="1"/>
      <w:numFmt w:val="decimal"/>
      <w:pStyle w:val="1175"/>
      <w:isLgl w:val="false"/>
      <w:suff w:val="tab"/>
      <w:lvlText w:val="%1)"/>
      <w:lvlJc w:val="left"/>
      <w:pPr>
        <w:pStyle w:val="1068"/>
        <w:ind w:left="420" w:hanging="420"/>
      </w:pPr>
    </w:lvl>
    <w:lvl w:ilvl="1">
      <w:start w:val="1"/>
      <w:numFmt w:val="lowerLetter"/>
      <w:isLgl w:val="false"/>
      <w:suff w:val="tab"/>
      <w:lvlText w:val="%2)"/>
      <w:lvlJc w:val="left"/>
      <w:pPr>
        <w:pStyle w:val="1068"/>
        <w:ind w:left="840" w:hanging="420"/>
      </w:pPr>
    </w:lvl>
    <w:lvl w:ilvl="2">
      <w:start w:val="1"/>
      <w:numFmt w:val="lowerRoman"/>
      <w:isLgl w:val="false"/>
      <w:suff w:val="tab"/>
      <w:lvlText w:val="%3."/>
      <w:lvlJc w:val="right"/>
      <w:pPr>
        <w:pStyle w:val="1068"/>
        <w:ind w:left="1260" w:hanging="420"/>
      </w:pPr>
    </w:lvl>
    <w:lvl w:ilvl="3">
      <w:start w:val="1"/>
      <w:numFmt w:val="decimal"/>
      <w:isLgl w:val="false"/>
      <w:suff w:val="tab"/>
      <w:lvlText w:val="%4."/>
      <w:lvlJc w:val="left"/>
      <w:pPr>
        <w:pStyle w:val="1068"/>
        <w:ind w:left="1680" w:hanging="420"/>
      </w:pPr>
    </w:lvl>
    <w:lvl w:ilvl="4">
      <w:start w:val="1"/>
      <w:numFmt w:val="lowerLetter"/>
      <w:isLgl w:val="false"/>
      <w:suff w:val="tab"/>
      <w:lvlText w:val="%5)"/>
      <w:lvlJc w:val="left"/>
      <w:pPr>
        <w:pStyle w:val="1068"/>
        <w:ind w:left="2100" w:hanging="420"/>
      </w:pPr>
    </w:lvl>
    <w:lvl w:ilvl="5">
      <w:start w:val="1"/>
      <w:numFmt w:val="lowerRoman"/>
      <w:isLgl w:val="false"/>
      <w:suff w:val="tab"/>
      <w:lvlText w:val="%6."/>
      <w:lvlJc w:val="right"/>
      <w:pPr>
        <w:pStyle w:val="1068"/>
        <w:ind w:left="2520" w:hanging="420"/>
      </w:pPr>
    </w:lvl>
    <w:lvl w:ilvl="6">
      <w:start w:val="1"/>
      <w:numFmt w:val="decimal"/>
      <w:isLgl w:val="false"/>
      <w:suff w:val="tab"/>
      <w:lvlText w:val="%7."/>
      <w:lvlJc w:val="left"/>
      <w:pPr>
        <w:pStyle w:val="1068"/>
        <w:ind w:left="2940" w:hanging="420"/>
      </w:pPr>
    </w:lvl>
    <w:lvl w:ilvl="7">
      <w:start w:val="1"/>
      <w:numFmt w:val="lowerLetter"/>
      <w:isLgl w:val="false"/>
      <w:suff w:val="tab"/>
      <w:lvlText w:val="%8)"/>
      <w:lvlJc w:val="left"/>
      <w:pPr>
        <w:pStyle w:val="1068"/>
        <w:ind w:left="3360" w:hanging="420"/>
      </w:pPr>
    </w:lvl>
    <w:lvl w:ilvl="8">
      <w:start w:val="1"/>
      <w:numFmt w:val="lowerRoman"/>
      <w:isLgl w:val="false"/>
      <w:suff w:val="tab"/>
      <w:lvlText w:val="%9."/>
      <w:lvlJc w:val="right"/>
      <w:pPr>
        <w:pStyle w:val="1068"/>
        <w:ind w:left="3780" w:hanging="420"/>
      </w:pPr>
    </w:lvl>
  </w:abstractNum>
  <w:abstractNum w:abstractNumId="8">
    <w:multiLevelType w:val="hybridMultilevel"/>
    <w:lvl w:ilvl="0">
      <w:start w:val="1"/>
      <w:numFmt w:val="decimal"/>
      <w:pStyle w:val="1276"/>
      <w:isLgl w:val="false"/>
      <w:suff w:val="tab"/>
      <w:lvlText w:val="%1"/>
      <w:lvlJc w:val="left"/>
      <w:pPr>
        <w:pStyle w:val="1068"/>
        <w:ind w:left="680" w:hanging="680"/>
      </w:pPr>
      <w:rPr>
        <w:rFonts w:hint="eastAsia" w:ascii="宋体" w:hAnsi="宋体" w:eastAsia="宋体"/>
      </w:rPr>
    </w:lvl>
    <w:lvl w:ilvl="1">
      <w:start w:val="1"/>
      <w:numFmt w:val="decimal"/>
      <w:pStyle w:val="1277"/>
      <w:isLgl w:val="false"/>
      <w:suff w:val="tab"/>
      <w:lvlText w:val="%1.%2"/>
      <w:lvlJc w:val="left"/>
      <w:pPr>
        <w:pStyle w:val="1068"/>
        <w:ind w:left="851" w:hanging="851"/>
      </w:pPr>
      <w:rPr>
        <w:rFonts w:hint="eastAsia" w:ascii="宋体" w:hAnsi="宋体" w:eastAsia="宋体"/>
        <w:color w:val="000000"/>
      </w:rPr>
    </w:lvl>
    <w:lvl w:ilvl="2">
      <w:start w:val="1"/>
      <w:numFmt w:val="decimal"/>
      <w:pStyle w:val="1278"/>
      <w:isLgl w:val="false"/>
      <w:suff w:val="tab"/>
      <w:lvlText w:val="%1.%2.%3"/>
      <w:lvlJc w:val="left"/>
      <w:pPr>
        <w:pStyle w:val="1068"/>
        <w:ind w:left="851" w:hanging="851"/>
      </w:pPr>
      <w:rPr>
        <w:rFonts w:hint="eastAsia"/>
      </w:rPr>
    </w:lvl>
    <w:lvl w:ilvl="3">
      <w:start w:val="1"/>
      <w:numFmt w:val="decimal"/>
      <w:isLgl w:val="false"/>
      <w:suff w:val="tab"/>
      <w:lvlText w:val="%1.%2.%3.%4"/>
      <w:lvlJc w:val="left"/>
      <w:pPr>
        <w:pStyle w:val="1068"/>
        <w:ind w:left="680" w:hanging="680"/>
      </w:pPr>
      <w:rPr>
        <w:rFonts w:hint="eastAsia"/>
      </w:rPr>
    </w:lvl>
    <w:lvl w:ilvl="4">
      <w:start w:val="1"/>
      <w:numFmt w:val="decimal"/>
      <w:isLgl w:val="false"/>
      <w:suff w:val="tab"/>
      <w:lvlText w:val="%1.%2.%3.%4.%5"/>
      <w:lvlJc w:val="left"/>
      <w:pPr>
        <w:pStyle w:val="1068"/>
        <w:ind w:left="680" w:hanging="680"/>
      </w:pPr>
      <w:rPr>
        <w:rFonts w:hint="eastAsia"/>
      </w:rPr>
    </w:lvl>
    <w:lvl w:ilvl="5">
      <w:start w:val="1"/>
      <w:numFmt w:val="decimal"/>
      <w:isLgl w:val="false"/>
      <w:suff w:val="tab"/>
      <w:lvlText w:val="%1.%2.%3.%4.%5.%6"/>
      <w:lvlJc w:val="left"/>
      <w:pPr>
        <w:pStyle w:val="1068"/>
        <w:ind w:left="680" w:hanging="680"/>
      </w:pPr>
      <w:rPr>
        <w:rFonts w:hint="eastAsia"/>
      </w:rPr>
    </w:lvl>
    <w:lvl w:ilvl="6">
      <w:start w:val="1"/>
      <w:numFmt w:val="decimal"/>
      <w:isLgl w:val="false"/>
      <w:suff w:val="tab"/>
      <w:lvlText w:val="%1.%2.%3.%4.%5.%6.%7"/>
      <w:lvlJc w:val="left"/>
      <w:pPr>
        <w:pStyle w:val="1068"/>
        <w:ind w:left="680" w:hanging="680"/>
      </w:pPr>
      <w:rPr>
        <w:rFonts w:hint="eastAsia"/>
      </w:rPr>
    </w:lvl>
    <w:lvl w:ilvl="7">
      <w:start w:val="1"/>
      <w:numFmt w:val="decimal"/>
      <w:isLgl w:val="false"/>
      <w:suff w:val="tab"/>
      <w:lvlText w:val="%1.%2.%3.%4.%5.%6.%7.%8"/>
      <w:lvlJc w:val="left"/>
      <w:pPr>
        <w:pStyle w:val="1068"/>
        <w:ind w:left="680" w:hanging="680"/>
      </w:pPr>
      <w:rPr>
        <w:rFonts w:hint="eastAsia"/>
      </w:rPr>
    </w:lvl>
    <w:lvl w:ilvl="8">
      <w:start w:val="1"/>
      <w:numFmt w:val="decimal"/>
      <w:isLgl w:val="false"/>
      <w:suff w:val="tab"/>
      <w:lvlText w:val="%1.%2.%3.%4.%5.%6.%7.%8.%9"/>
      <w:lvlJc w:val="left"/>
      <w:pPr>
        <w:pStyle w:val="1068"/>
        <w:ind w:left="680" w:hanging="680"/>
      </w:pPr>
      <w:rPr>
        <w:rFonts w:hint="eastAsia"/>
      </w:rPr>
    </w:lvl>
  </w:abstractNum>
  <w:abstractNum w:abstractNumId="9">
    <w:multiLevelType w:val="hybridMultilevel"/>
    <w:lvl w:ilvl="0">
      <w:start w:val="1"/>
      <w:numFmt w:val="decimal"/>
      <w:isLgl w:val="false"/>
      <w:suff w:val="tab"/>
      <w:lvlText w:val="%1."/>
      <w:lvlJc w:val="left"/>
      <w:pPr>
        <w:pStyle w:val="1068"/>
        <w:ind w:left="900" w:hanging="900"/>
        <w:tabs>
          <w:tab w:val="num" w:pos="900" w:leader="none"/>
        </w:tabs>
      </w:pPr>
      <w:rPr>
        <w:rFonts w:hint="eastAsia"/>
      </w:rPr>
    </w:lvl>
    <w:lvl w:ilvl="1">
      <w:start w:val="1"/>
      <w:numFmt w:val="decimal"/>
      <w:isLgl w:val="false"/>
      <w:suff w:val="tab"/>
      <w:lvlText w:val="%1.%2"/>
      <w:lvlJc w:val="left"/>
      <w:pPr>
        <w:pStyle w:val="106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68"/>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68"/>
        <w:ind w:left="900" w:hanging="900"/>
        <w:tabs>
          <w:tab w:val="num" w:pos="900" w:leader="none"/>
        </w:tabs>
      </w:pPr>
      <w:rPr>
        <w:rFonts w:hint="eastAsia"/>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68"/>
        <w:ind w:left="900" w:hanging="900"/>
        <w:tabs>
          <w:tab w:val="num" w:pos="900" w:leader="none"/>
        </w:tabs>
      </w:pPr>
      <w:rPr>
        <w:rFonts w:hint="eastAsia"/>
      </w:rPr>
    </w:lvl>
    <w:lvl w:ilvl="1">
      <w:start w:val="1"/>
      <w:numFmt w:val="decimal"/>
      <w:isLgl w:val="false"/>
      <w:suff w:val="tab"/>
      <w:lvlText w:val="%1.%2"/>
      <w:lvlJc w:val="left"/>
      <w:pPr>
        <w:pStyle w:val="106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8"/>
        <w:ind w:left="1980" w:hanging="900"/>
        <w:tabs>
          <w:tab w:val="num" w:pos="1980" w:leader="none"/>
        </w:tabs>
      </w:pPr>
      <w:rPr>
        <w:rFonts w:hint="eastAsia"/>
      </w:rPr>
    </w:lvl>
    <w:lvl w:ilvl="3">
      <w:start w:val="1"/>
      <w:numFmt w:val="decimal"/>
      <w:isLgl w:val="false"/>
      <w:suff w:val="tab"/>
      <w:lvlText w:val="%1.%2.%3.%4"/>
      <w:lvlJc w:val="left"/>
      <w:pPr>
        <w:pStyle w:val="1068"/>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68"/>
        <w:ind w:left="900" w:hanging="900"/>
        <w:tabs>
          <w:tab w:val="num" w:pos="900" w:leader="none"/>
        </w:tabs>
      </w:pPr>
      <w:rPr>
        <w:rFonts w:hint="eastAsia"/>
      </w:rPr>
    </w:lvl>
    <w:lvl w:ilvl="1">
      <w:start w:val="1"/>
      <w:numFmt w:val="decimal"/>
      <w:isLgl w:val="false"/>
      <w:suff w:val="tab"/>
      <w:lvlText w:val="%1.%2"/>
      <w:lvlJc w:val="left"/>
      <w:pPr>
        <w:pStyle w:val="106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8"/>
        <w:ind w:left="1980" w:hanging="900"/>
        <w:tabs>
          <w:tab w:val="num" w:pos="1980" w:leader="none"/>
        </w:tabs>
      </w:pPr>
      <w:rPr>
        <w:rFonts w:hint="eastAsia"/>
      </w:rPr>
    </w:lvl>
    <w:lvl w:ilvl="3">
      <w:start w:val="1"/>
      <w:numFmt w:val="decimal"/>
      <w:isLgl w:val="false"/>
      <w:suff w:val="tab"/>
      <w:lvlText w:val="%1.%2.%3.%4"/>
      <w:lvlJc w:val="left"/>
      <w:pPr>
        <w:pStyle w:val="1068"/>
        <w:ind w:left="900" w:hanging="900"/>
        <w:tabs>
          <w:tab w:val="num" w:pos="900" w:leader="none"/>
        </w:tabs>
      </w:pPr>
      <w:rPr>
        <w:rFonts w:hint="eastAsia"/>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68"/>
        <w:ind w:left="900" w:hanging="900"/>
        <w:tabs>
          <w:tab w:val="num" w:pos="900" w:leader="none"/>
        </w:tabs>
      </w:pPr>
      <w:rPr>
        <w:rFonts w:hint="eastAsia"/>
      </w:rPr>
    </w:lvl>
    <w:lvl w:ilvl="1">
      <w:start w:val="1"/>
      <w:numFmt w:val="decimal"/>
      <w:isLgl w:val="false"/>
      <w:suff w:val="tab"/>
      <w:lvlText w:val="%1.%2"/>
      <w:lvlJc w:val="left"/>
      <w:pPr>
        <w:pStyle w:val="106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8"/>
        <w:ind w:left="1980" w:hanging="900"/>
        <w:tabs>
          <w:tab w:val="num" w:pos="1980" w:leader="none"/>
        </w:tabs>
      </w:pPr>
      <w:rPr>
        <w:rFonts w:hint="eastAsia"/>
      </w:rPr>
    </w:lvl>
    <w:lvl w:ilvl="3">
      <w:start w:val="1"/>
      <w:numFmt w:val="decimal"/>
      <w:isLgl w:val="false"/>
      <w:suff w:val="tab"/>
      <w:lvlText w:val="%1.%2.%3.%4"/>
      <w:lvlJc w:val="left"/>
      <w:pPr>
        <w:pStyle w:val="1068"/>
        <w:ind w:left="900" w:hanging="900"/>
        <w:tabs>
          <w:tab w:val="num" w:pos="900" w:leader="none"/>
        </w:tabs>
      </w:pPr>
      <w:rPr>
        <w:rFonts w:hint="eastAsia"/>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0">
    <w:name w:val="Heading 1"/>
    <w:basedOn w:val="1068"/>
    <w:next w:val="1068"/>
    <w:link w:val="891"/>
    <w:uiPriority w:val="9"/>
    <w:qFormat/>
    <w:pPr>
      <w:keepLines/>
      <w:keepNext/>
      <w:spacing w:before="480" w:after="200"/>
      <w:outlineLvl w:val="0"/>
    </w:pPr>
    <w:rPr>
      <w:rFonts w:ascii="Arial" w:hAnsi="Arial" w:eastAsia="Arial" w:cs="Arial"/>
      <w:sz w:val="40"/>
      <w:szCs w:val="40"/>
    </w:rPr>
  </w:style>
  <w:style w:type="character" w:styleId="891">
    <w:name w:val="Heading 1 Char"/>
    <w:link w:val="890"/>
    <w:uiPriority w:val="9"/>
    <w:rPr>
      <w:rFonts w:ascii="Arial" w:hAnsi="Arial" w:eastAsia="Arial" w:cs="Arial"/>
      <w:sz w:val="40"/>
      <w:szCs w:val="40"/>
    </w:rPr>
  </w:style>
  <w:style w:type="paragraph" w:styleId="892">
    <w:name w:val="Heading 2"/>
    <w:basedOn w:val="1068"/>
    <w:next w:val="1068"/>
    <w:link w:val="893"/>
    <w:uiPriority w:val="9"/>
    <w:unhideWhenUsed/>
    <w:qFormat/>
    <w:pPr>
      <w:keepLines/>
      <w:keepNext/>
      <w:spacing w:before="360" w:after="200"/>
      <w:outlineLvl w:val="1"/>
    </w:pPr>
    <w:rPr>
      <w:rFonts w:ascii="Arial" w:hAnsi="Arial" w:eastAsia="Arial" w:cs="Arial"/>
      <w:sz w:val="34"/>
    </w:rPr>
  </w:style>
  <w:style w:type="character" w:styleId="893">
    <w:name w:val="Heading 2 Char"/>
    <w:link w:val="892"/>
    <w:uiPriority w:val="9"/>
    <w:rPr>
      <w:rFonts w:ascii="Arial" w:hAnsi="Arial" w:eastAsia="Arial" w:cs="Arial"/>
      <w:sz w:val="34"/>
    </w:rPr>
  </w:style>
  <w:style w:type="paragraph" w:styleId="894">
    <w:name w:val="Heading 3"/>
    <w:basedOn w:val="1068"/>
    <w:next w:val="1068"/>
    <w:link w:val="895"/>
    <w:uiPriority w:val="9"/>
    <w:unhideWhenUsed/>
    <w:qFormat/>
    <w:pPr>
      <w:keepLines/>
      <w:keepNext/>
      <w:spacing w:before="320" w:after="200"/>
      <w:outlineLvl w:val="2"/>
    </w:pPr>
    <w:rPr>
      <w:rFonts w:ascii="Arial" w:hAnsi="Arial" w:eastAsia="Arial" w:cs="Arial"/>
      <w:sz w:val="30"/>
      <w:szCs w:val="30"/>
    </w:rPr>
  </w:style>
  <w:style w:type="character" w:styleId="895">
    <w:name w:val="Heading 3 Char"/>
    <w:link w:val="894"/>
    <w:uiPriority w:val="9"/>
    <w:rPr>
      <w:rFonts w:ascii="Arial" w:hAnsi="Arial" w:eastAsia="Arial" w:cs="Arial"/>
      <w:sz w:val="30"/>
      <w:szCs w:val="30"/>
    </w:rPr>
  </w:style>
  <w:style w:type="paragraph" w:styleId="896">
    <w:name w:val="Heading 4"/>
    <w:basedOn w:val="1068"/>
    <w:next w:val="1068"/>
    <w:link w:val="897"/>
    <w:uiPriority w:val="9"/>
    <w:unhideWhenUsed/>
    <w:qFormat/>
    <w:pPr>
      <w:keepLines/>
      <w:keepNext/>
      <w:spacing w:before="320" w:after="200"/>
      <w:outlineLvl w:val="3"/>
    </w:pPr>
    <w:rPr>
      <w:rFonts w:ascii="Arial" w:hAnsi="Arial" w:eastAsia="Arial" w:cs="Arial"/>
      <w:b/>
      <w:bCs/>
      <w:sz w:val="26"/>
      <w:szCs w:val="26"/>
    </w:rPr>
  </w:style>
  <w:style w:type="character" w:styleId="897">
    <w:name w:val="Heading 4 Char"/>
    <w:link w:val="896"/>
    <w:uiPriority w:val="9"/>
    <w:rPr>
      <w:rFonts w:ascii="Arial" w:hAnsi="Arial" w:eastAsia="Arial" w:cs="Arial"/>
      <w:b/>
      <w:bCs/>
      <w:sz w:val="26"/>
      <w:szCs w:val="26"/>
    </w:rPr>
  </w:style>
  <w:style w:type="paragraph" w:styleId="898">
    <w:name w:val="Heading 5"/>
    <w:basedOn w:val="1068"/>
    <w:next w:val="1068"/>
    <w:link w:val="899"/>
    <w:uiPriority w:val="9"/>
    <w:unhideWhenUsed/>
    <w:qFormat/>
    <w:pPr>
      <w:keepLines/>
      <w:keepNext/>
      <w:spacing w:before="320" w:after="200"/>
      <w:outlineLvl w:val="4"/>
    </w:pPr>
    <w:rPr>
      <w:rFonts w:ascii="Arial" w:hAnsi="Arial" w:eastAsia="Arial" w:cs="Arial"/>
      <w:b/>
      <w:bCs/>
      <w:sz w:val="24"/>
      <w:szCs w:val="24"/>
    </w:rPr>
  </w:style>
  <w:style w:type="character" w:styleId="899">
    <w:name w:val="Heading 5 Char"/>
    <w:link w:val="898"/>
    <w:uiPriority w:val="9"/>
    <w:rPr>
      <w:rFonts w:ascii="Arial" w:hAnsi="Arial" w:eastAsia="Arial" w:cs="Arial"/>
      <w:b/>
      <w:bCs/>
      <w:sz w:val="24"/>
      <w:szCs w:val="24"/>
    </w:rPr>
  </w:style>
  <w:style w:type="paragraph" w:styleId="900">
    <w:name w:val="Heading 6"/>
    <w:basedOn w:val="1068"/>
    <w:next w:val="1068"/>
    <w:link w:val="901"/>
    <w:uiPriority w:val="9"/>
    <w:unhideWhenUsed/>
    <w:qFormat/>
    <w:pPr>
      <w:keepLines/>
      <w:keepNext/>
      <w:spacing w:before="320" w:after="200"/>
      <w:outlineLvl w:val="5"/>
    </w:pPr>
    <w:rPr>
      <w:rFonts w:ascii="Arial" w:hAnsi="Arial" w:eastAsia="Arial" w:cs="Arial"/>
      <w:b/>
      <w:bCs/>
      <w:sz w:val="22"/>
      <w:szCs w:val="22"/>
    </w:rPr>
  </w:style>
  <w:style w:type="character" w:styleId="901">
    <w:name w:val="Heading 6 Char"/>
    <w:link w:val="900"/>
    <w:uiPriority w:val="9"/>
    <w:rPr>
      <w:rFonts w:ascii="Arial" w:hAnsi="Arial" w:eastAsia="Arial" w:cs="Arial"/>
      <w:b/>
      <w:bCs/>
      <w:sz w:val="22"/>
      <w:szCs w:val="22"/>
    </w:rPr>
  </w:style>
  <w:style w:type="paragraph" w:styleId="902">
    <w:name w:val="Heading 7"/>
    <w:basedOn w:val="1068"/>
    <w:next w:val="1068"/>
    <w:link w:val="903"/>
    <w:uiPriority w:val="9"/>
    <w:unhideWhenUsed/>
    <w:qFormat/>
    <w:pPr>
      <w:keepLines/>
      <w:keepNext/>
      <w:spacing w:before="320" w:after="200"/>
      <w:outlineLvl w:val="6"/>
    </w:pPr>
    <w:rPr>
      <w:rFonts w:ascii="Arial" w:hAnsi="Arial" w:eastAsia="Arial" w:cs="Arial"/>
      <w:b/>
      <w:bCs/>
      <w:i/>
      <w:iCs/>
      <w:sz w:val="22"/>
      <w:szCs w:val="22"/>
    </w:rPr>
  </w:style>
  <w:style w:type="character" w:styleId="903">
    <w:name w:val="Heading 7 Char"/>
    <w:link w:val="902"/>
    <w:uiPriority w:val="9"/>
    <w:rPr>
      <w:rFonts w:ascii="Arial" w:hAnsi="Arial" w:eastAsia="Arial" w:cs="Arial"/>
      <w:b/>
      <w:bCs/>
      <w:i/>
      <w:iCs/>
      <w:sz w:val="22"/>
      <w:szCs w:val="22"/>
    </w:rPr>
  </w:style>
  <w:style w:type="paragraph" w:styleId="904">
    <w:name w:val="Heading 8"/>
    <w:basedOn w:val="1068"/>
    <w:next w:val="1068"/>
    <w:link w:val="905"/>
    <w:uiPriority w:val="9"/>
    <w:unhideWhenUsed/>
    <w:qFormat/>
    <w:pPr>
      <w:keepLines/>
      <w:keepNext/>
      <w:spacing w:before="320" w:after="200"/>
      <w:outlineLvl w:val="7"/>
    </w:pPr>
    <w:rPr>
      <w:rFonts w:ascii="Arial" w:hAnsi="Arial" w:eastAsia="Arial" w:cs="Arial"/>
      <w:i/>
      <w:iCs/>
      <w:sz w:val="22"/>
      <w:szCs w:val="22"/>
    </w:rPr>
  </w:style>
  <w:style w:type="character" w:styleId="905">
    <w:name w:val="Heading 8 Char"/>
    <w:link w:val="904"/>
    <w:uiPriority w:val="9"/>
    <w:rPr>
      <w:rFonts w:ascii="Arial" w:hAnsi="Arial" w:eastAsia="Arial" w:cs="Arial"/>
      <w:i/>
      <w:iCs/>
      <w:sz w:val="22"/>
      <w:szCs w:val="22"/>
    </w:rPr>
  </w:style>
  <w:style w:type="paragraph" w:styleId="906">
    <w:name w:val="Heading 9"/>
    <w:basedOn w:val="1068"/>
    <w:next w:val="1068"/>
    <w:link w:val="907"/>
    <w:uiPriority w:val="9"/>
    <w:unhideWhenUsed/>
    <w:qFormat/>
    <w:pPr>
      <w:keepLines/>
      <w:keepNext/>
      <w:spacing w:before="320" w:after="200"/>
      <w:outlineLvl w:val="8"/>
    </w:pPr>
    <w:rPr>
      <w:rFonts w:ascii="Arial" w:hAnsi="Arial" w:eastAsia="Arial" w:cs="Arial"/>
      <w:i/>
      <w:iCs/>
      <w:sz w:val="21"/>
      <w:szCs w:val="21"/>
    </w:rPr>
  </w:style>
  <w:style w:type="character" w:styleId="907">
    <w:name w:val="Heading 9 Char"/>
    <w:link w:val="906"/>
    <w:uiPriority w:val="9"/>
    <w:rPr>
      <w:rFonts w:ascii="Arial" w:hAnsi="Arial" w:eastAsia="Arial" w:cs="Arial"/>
      <w:i/>
      <w:iCs/>
      <w:sz w:val="21"/>
      <w:szCs w:val="21"/>
    </w:rPr>
  </w:style>
  <w:style w:type="paragraph" w:styleId="908">
    <w:name w:val="List Paragraph"/>
    <w:basedOn w:val="1068"/>
    <w:uiPriority w:val="34"/>
    <w:qFormat/>
    <w:pPr>
      <w:contextualSpacing/>
      <w:ind w:left="720"/>
    </w:pPr>
  </w:style>
  <w:style w:type="paragraph" w:styleId="909">
    <w:name w:val="No Spacing"/>
    <w:uiPriority w:val="1"/>
    <w:qFormat/>
    <w:pPr>
      <w:spacing w:before="0" w:after="0" w:line="240" w:lineRule="auto"/>
    </w:pPr>
  </w:style>
  <w:style w:type="paragraph" w:styleId="910">
    <w:name w:val="Title"/>
    <w:basedOn w:val="1068"/>
    <w:next w:val="1068"/>
    <w:link w:val="911"/>
    <w:uiPriority w:val="10"/>
    <w:qFormat/>
    <w:pPr>
      <w:contextualSpacing/>
      <w:spacing w:before="300" w:after="200"/>
    </w:pPr>
    <w:rPr>
      <w:sz w:val="48"/>
      <w:szCs w:val="48"/>
    </w:rPr>
  </w:style>
  <w:style w:type="character" w:styleId="911">
    <w:name w:val="Title Char"/>
    <w:link w:val="910"/>
    <w:uiPriority w:val="10"/>
    <w:rPr>
      <w:sz w:val="48"/>
      <w:szCs w:val="48"/>
    </w:rPr>
  </w:style>
  <w:style w:type="paragraph" w:styleId="912">
    <w:name w:val="Subtitle"/>
    <w:basedOn w:val="1068"/>
    <w:next w:val="1068"/>
    <w:link w:val="913"/>
    <w:uiPriority w:val="11"/>
    <w:qFormat/>
    <w:pPr>
      <w:spacing w:before="200" w:after="200"/>
    </w:pPr>
    <w:rPr>
      <w:sz w:val="24"/>
      <w:szCs w:val="24"/>
    </w:rPr>
  </w:style>
  <w:style w:type="character" w:styleId="913">
    <w:name w:val="Subtitle Char"/>
    <w:link w:val="912"/>
    <w:uiPriority w:val="11"/>
    <w:rPr>
      <w:sz w:val="24"/>
      <w:szCs w:val="24"/>
    </w:rPr>
  </w:style>
  <w:style w:type="paragraph" w:styleId="914">
    <w:name w:val="Quote"/>
    <w:basedOn w:val="1068"/>
    <w:next w:val="1068"/>
    <w:link w:val="915"/>
    <w:uiPriority w:val="29"/>
    <w:qFormat/>
    <w:pPr>
      <w:ind w:left="720" w:right="720"/>
    </w:pPr>
    <w:rPr>
      <w:i/>
    </w:rPr>
  </w:style>
  <w:style w:type="character" w:styleId="915">
    <w:name w:val="Quote Char"/>
    <w:link w:val="914"/>
    <w:uiPriority w:val="29"/>
    <w:rPr>
      <w:i/>
    </w:rPr>
  </w:style>
  <w:style w:type="paragraph" w:styleId="916">
    <w:name w:val="Intense Quote"/>
    <w:basedOn w:val="1068"/>
    <w:next w:val="1068"/>
    <w:link w:val="9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name w:val="Intense Quote Char"/>
    <w:link w:val="916"/>
    <w:uiPriority w:val="30"/>
    <w:rPr>
      <w:i/>
    </w:rPr>
  </w:style>
  <w:style w:type="paragraph" w:styleId="918">
    <w:name w:val="Header"/>
    <w:basedOn w:val="1068"/>
    <w:link w:val="919"/>
    <w:uiPriority w:val="99"/>
    <w:unhideWhenUsed/>
    <w:pPr>
      <w:spacing w:after="0" w:line="240" w:lineRule="auto"/>
      <w:tabs>
        <w:tab w:val="center" w:pos="7143" w:leader="none"/>
        <w:tab w:val="right" w:pos="14287" w:leader="none"/>
      </w:tabs>
    </w:pPr>
  </w:style>
  <w:style w:type="character" w:styleId="919">
    <w:name w:val="Header Char"/>
    <w:link w:val="918"/>
    <w:uiPriority w:val="99"/>
  </w:style>
  <w:style w:type="paragraph" w:styleId="920">
    <w:name w:val="Footer"/>
    <w:basedOn w:val="1068"/>
    <w:link w:val="923"/>
    <w:uiPriority w:val="99"/>
    <w:unhideWhenUsed/>
    <w:pPr>
      <w:spacing w:after="0" w:line="240" w:lineRule="auto"/>
      <w:tabs>
        <w:tab w:val="center" w:pos="7143" w:leader="none"/>
        <w:tab w:val="right" w:pos="14287" w:leader="none"/>
      </w:tabs>
    </w:pPr>
  </w:style>
  <w:style w:type="character" w:styleId="921">
    <w:name w:val="Footer Char"/>
    <w:link w:val="920"/>
    <w:uiPriority w:val="99"/>
  </w:style>
  <w:style w:type="paragraph" w:styleId="922">
    <w:name w:val="Caption"/>
    <w:basedOn w:val="1068"/>
    <w:next w:val="1068"/>
    <w:uiPriority w:val="35"/>
    <w:semiHidden/>
    <w:unhideWhenUsed/>
    <w:qFormat/>
    <w:pPr>
      <w:spacing w:line="276" w:lineRule="auto"/>
    </w:pPr>
    <w:rPr>
      <w:b/>
      <w:bCs/>
      <w:color w:val="4f81bd" w:themeColor="accent1"/>
      <w:sz w:val="18"/>
      <w:szCs w:val="18"/>
    </w:rPr>
  </w:style>
  <w:style w:type="character" w:styleId="923">
    <w:name w:val="Caption Char"/>
    <w:basedOn w:val="922"/>
    <w:link w:val="920"/>
    <w:uiPriority w:val="99"/>
  </w:style>
  <w:style w:type="table" w:styleId="9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0">
    <w:name w:val="Hyperlink"/>
    <w:uiPriority w:val="99"/>
    <w:unhideWhenUsed/>
    <w:rPr>
      <w:color w:val="0000ff" w:themeColor="hyperlink"/>
      <w:u w:val="single"/>
    </w:rPr>
  </w:style>
  <w:style w:type="paragraph" w:styleId="1051">
    <w:name w:val="footnote text"/>
    <w:basedOn w:val="1068"/>
    <w:link w:val="1052"/>
    <w:uiPriority w:val="99"/>
    <w:semiHidden/>
    <w:unhideWhenUsed/>
    <w:pPr>
      <w:spacing w:after="40" w:line="240" w:lineRule="auto"/>
    </w:pPr>
    <w:rPr>
      <w:sz w:val="18"/>
    </w:rPr>
  </w:style>
  <w:style w:type="character" w:styleId="1052">
    <w:name w:val="Footnote Text Char"/>
    <w:link w:val="1051"/>
    <w:uiPriority w:val="99"/>
    <w:rPr>
      <w:sz w:val="18"/>
    </w:rPr>
  </w:style>
  <w:style w:type="character" w:styleId="1053">
    <w:name w:val="footnote reference"/>
    <w:uiPriority w:val="99"/>
    <w:unhideWhenUsed/>
    <w:rPr>
      <w:vertAlign w:val="superscript"/>
    </w:rPr>
  </w:style>
  <w:style w:type="paragraph" w:styleId="1054">
    <w:name w:val="endnote text"/>
    <w:basedOn w:val="1068"/>
    <w:link w:val="1055"/>
    <w:uiPriority w:val="99"/>
    <w:semiHidden/>
    <w:unhideWhenUsed/>
    <w:pPr>
      <w:spacing w:after="0" w:line="240" w:lineRule="auto"/>
    </w:pPr>
    <w:rPr>
      <w:sz w:val="20"/>
    </w:rPr>
  </w:style>
  <w:style w:type="character" w:styleId="1055">
    <w:name w:val="Endnote Text Char"/>
    <w:link w:val="1054"/>
    <w:uiPriority w:val="99"/>
    <w:rPr>
      <w:sz w:val="20"/>
    </w:rPr>
  </w:style>
  <w:style w:type="character" w:styleId="1056">
    <w:name w:val="endnote reference"/>
    <w:uiPriority w:val="99"/>
    <w:semiHidden/>
    <w:unhideWhenUsed/>
    <w:rPr>
      <w:vertAlign w:val="superscript"/>
    </w:rPr>
  </w:style>
  <w:style w:type="paragraph" w:styleId="1057">
    <w:name w:val="toc 1"/>
    <w:basedOn w:val="1068"/>
    <w:next w:val="1068"/>
    <w:uiPriority w:val="39"/>
    <w:unhideWhenUsed/>
    <w:pPr>
      <w:ind w:left="0" w:right="0" w:firstLine="0"/>
      <w:spacing w:after="57"/>
    </w:pPr>
  </w:style>
  <w:style w:type="paragraph" w:styleId="1058">
    <w:name w:val="toc 2"/>
    <w:basedOn w:val="1068"/>
    <w:next w:val="1068"/>
    <w:uiPriority w:val="39"/>
    <w:unhideWhenUsed/>
    <w:pPr>
      <w:ind w:left="283" w:right="0" w:firstLine="0"/>
      <w:spacing w:after="57"/>
    </w:pPr>
  </w:style>
  <w:style w:type="paragraph" w:styleId="1059">
    <w:name w:val="toc 3"/>
    <w:basedOn w:val="1068"/>
    <w:next w:val="1068"/>
    <w:uiPriority w:val="39"/>
    <w:unhideWhenUsed/>
    <w:pPr>
      <w:ind w:left="567" w:right="0" w:firstLine="0"/>
      <w:spacing w:after="57"/>
    </w:pPr>
  </w:style>
  <w:style w:type="paragraph" w:styleId="1060">
    <w:name w:val="toc 4"/>
    <w:basedOn w:val="1068"/>
    <w:next w:val="1068"/>
    <w:uiPriority w:val="39"/>
    <w:unhideWhenUsed/>
    <w:pPr>
      <w:ind w:left="850" w:right="0" w:firstLine="0"/>
      <w:spacing w:after="57"/>
    </w:pPr>
  </w:style>
  <w:style w:type="paragraph" w:styleId="1061">
    <w:name w:val="toc 5"/>
    <w:basedOn w:val="1068"/>
    <w:next w:val="1068"/>
    <w:uiPriority w:val="39"/>
    <w:unhideWhenUsed/>
    <w:pPr>
      <w:ind w:left="1134" w:right="0" w:firstLine="0"/>
      <w:spacing w:after="57"/>
    </w:pPr>
  </w:style>
  <w:style w:type="paragraph" w:styleId="1062">
    <w:name w:val="toc 6"/>
    <w:basedOn w:val="1068"/>
    <w:next w:val="1068"/>
    <w:uiPriority w:val="39"/>
    <w:unhideWhenUsed/>
    <w:pPr>
      <w:ind w:left="1417" w:right="0" w:firstLine="0"/>
      <w:spacing w:after="57"/>
    </w:pPr>
  </w:style>
  <w:style w:type="paragraph" w:styleId="1063">
    <w:name w:val="toc 7"/>
    <w:basedOn w:val="1068"/>
    <w:next w:val="1068"/>
    <w:uiPriority w:val="39"/>
    <w:unhideWhenUsed/>
    <w:pPr>
      <w:ind w:left="1701" w:right="0" w:firstLine="0"/>
      <w:spacing w:after="57"/>
    </w:pPr>
  </w:style>
  <w:style w:type="paragraph" w:styleId="1064">
    <w:name w:val="toc 8"/>
    <w:basedOn w:val="1068"/>
    <w:next w:val="1068"/>
    <w:uiPriority w:val="39"/>
    <w:unhideWhenUsed/>
    <w:pPr>
      <w:ind w:left="1984" w:right="0" w:firstLine="0"/>
      <w:spacing w:after="57"/>
    </w:pPr>
  </w:style>
  <w:style w:type="paragraph" w:styleId="1065">
    <w:name w:val="toc 9"/>
    <w:basedOn w:val="1068"/>
    <w:next w:val="1068"/>
    <w:uiPriority w:val="39"/>
    <w:unhideWhenUsed/>
    <w:pPr>
      <w:ind w:left="2268" w:right="0" w:firstLine="0"/>
      <w:spacing w:after="57"/>
    </w:pPr>
  </w:style>
  <w:style w:type="paragraph" w:styleId="1066">
    <w:name w:val="TOC Heading"/>
    <w:uiPriority w:val="39"/>
    <w:unhideWhenUsed/>
  </w:style>
  <w:style w:type="paragraph" w:styleId="1067">
    <w:name w:val="table of figures"/>
    <w:basedOn w:val="1068"/>
    <w:next w:val="1068"/>
    <w:uiPriority w:val="99"/>
    <w:unhideWhenUsed/>
    <w:pPr>
      <w:spacing w:after="0" w:afterAutospacing="0"/>
    </w:pPr>
  </w:style>
  <w:style w:type="paragraph" w:styleId="1068" w:default="1">
    <w:name w:val="Normal"/>
    <w:next w:val="1068"/>
    <w:link w:val="1068"/>
    <w:qFormat/>
    <w:pPr>
      <w:jc w:val="both"/>
      <w:widowControl w:val="off"/>
    </w:pPr>
    <w:rPr>
      <w:sz w:val="21"/>
      <w:szCs w:val="24"/>
      <w:lang w:val="en-US" w:eastAsia="zh-CN" w:bidi="ar-SA"/>
    </w:rPr>
  </w:style>
  <w:style w:type="paragraph" w:styleId="1069">
    <w:name w:val="标题 1"/>
    <w:basedOn w:val="1068"/>
    <w:next w:val="1068"/>
    <w:link w:val="1080"/>
    <w:qFormat/>
    <w:pPr>
      <w:jc w:val="center"/>
      <w:keepLines/>
      <w:keepNext/>
      <w:spacing w:before="240" w:after="120" w:line="300" w:lineRule="auto"/>
      <w:outlineLvl w:val="0"/>
    </w:pPr>
    <w:rPr>
      <w:rFonts w:ascii="宋体"/>
      <w:b/>
      <w:sz w:val="32"/>
      <w:szCs w:val="20"/>
    </w:rPr>
  </w:style>
  <w:style w:type="paragraph" w:styleId="1070">
    <w:name w:val="标题 2"/>
    <w:basedOn w:val="1068"/>
    <w:next w:val="1082"/>
    <w:link w:val="1081"/>
    <w:qFormat/>
    <w:pPr>
      <w:jc w:val="center"/>
      <w:keepLines/>
      <w:keepNext/>
      <w:spacing w:before="120" w:line="300" w:lineRule="auto"/>
      <w:outlineLvl w:val="1"/>
    </w:pPr>
    <w:rPr>
      <w:rFonts w:ascii="Arial" w:hAnsi="Arial" w:eastAsia="黑体"/>
      <w:b/>
      <w:sz w:val="30"/>
      <w:szCs w:val="20"/>
    </w:rPr>
  </w:style>
  <w:style w:type="paragraph" w:styleId="1071">
    <w:name w:val="标题 3"/>
    <w:basedOn w:val="1068"/>
    <w:next w:val="1082"/>
    <w:link w:val="1084"/>
    <w:qFormat/>
    <w:pPr>
      <w:jc w:val="left"/>
      <w:keepLines/>
      <w:keepNext/>
      <w:spacing w:before="360" w:after="120"/>
      <w:outlineLvl w:val="2"/>
    </w:pPr>
    <w:rPr>
      <w:rFonts w:ascii="宋体"/>
      <w:b/>
      <w:sz w:val="24"/>
      <w:szCs w:val="20"/>
      <w:u w:val="single"/>
    </w:rPr>
  </w:style>
  <w:style w:type="paragraph" w:styleId="1072">
    <w:name w:val="标题 4"/>
    <w:basedOn w:val="1068"/>
    <w:next w:val="1068"/>
    <w:link w:val="1085"/>
    <w:qFormat/>
    <w:pPr>
      <w:keepLines/>
      <w:keepNext/>
      <w:spacing w:before="280" w:after="290" w:line="376" w:lineRule="atLeast"/>
      <w:outlineLvl w:val="3"/>
    </w:pPr>
    <w:rPr>
      <w:rFonts w:ascii="Arial" w:hAnsi="Arial" w:eastAsia="黑体"/>
      <w:b/>
      <w:sz w:val="28"/>
      <w:szCs w:val="20"/>
    </w:rPr>
  </w:style>
  <w:style w:type="paragraph" w:styleId="1073">
    <w:name w:val="标题 5"/>
    <w:basedOn w:val="1068"/>
    <w:next w:val="1068"/>
    <w:link w:val="1086"/>
    <w:qFormat/>
    <w:pPr>
      <w:keepLines/>
      <w:keepNext/>
      <w:spacing w:before="280" w:after="290" w:line="376" w:lineRule="atLeast"/>
      <w:outlineLvl w:val="4"/>
    </w:pPr>
    <w:rPr>
      <w:b/>
      <w:sz w:val="28"/>
      <w:szCs w:val="20"/>
    </w:rPr>
  </w:style>
  <w:style w:type="paragraph" w:styleId="1074">
    <w:name w:val="标题 6"/>
    <w:basedOn w:val="1068"/>
    <w:next w:val="1068"/>
    <w:link w:val="1087"/>
    <w:qFormat/>
    <w:pPr>
      <w:keepLines/>
      <w:keepNext/>
      <w:spacing w:before="240" w:after="64" w:line="320" w:lineRule="atLeast"/>
      <w:outlineLvl w:val="5"/>
    </w:pPr>
    <w:rPr>
      <w:rFonts w:ascii="Arial" w:hAnsi="Arial" w:eastAsia="黑体"/>
      <w:b/>
      <w:sz w:val="24"/>
      <w:szCs w:val="20"/>
    </w:rPr>
  </w:style>
  <w:style w:type="paragraph" w:styleId="1075">
    <w:name w:val="标题 7"/>
    <w:basedOn w:val="1068"/>
    <w:next w:val="1068"/>
    <w:link w:val="1088"/>
    <w:qFormat/>
    <w:pPr>
      <w:keepLines/>
      <w:keepNext/>
      <w:spacing w:before="240" w:after="64" w:line="320" w:lineRule="atLeast"/>
      <w:outlineLvl w:val="6"/>
    </w:pPr>
    <w:rPr>
      <w:b/>
      <w:sz w:val="24"/>
      <w:szCs w:val="20"/>
    </w:rPr>
  </w:style>
  <w:style w:type="paragraph" w:styleId="1076">
    <w:name w:val="标题 8"/>
    <w:basedOn w:val="1068"/>
    <w:next w:val="1068"/>
    <w:link w:val="1089"/>
    <w:qFormat/>
    <w:pPr>
      <w:keepLines/>
      <w:keepNext/>
      <w:spacing w:before="240" w:after="64" w:line="320" w:lineRule="atLeast"/>
      <w:outlineLvl w:val="7"/>
    </w:pPr>
    <w:rPr>
      <w:rFonts w:ascii="Arial" w:hAnsi="Arial" w:eastAsia="黑体"/>
      <w:sz w:val="24"/>
      <w:szCs w:val="20"/>
    </w:rPr>
  </w:style>
  <w:style w:type="paragraph" w:styleId="1077">
    <w:name w:val="标题 9"/>
    <w:basedOn w:val="1068"/>
    <w:next w:val="1068"/>
    <w:link w:val="1090"/>
    <w:qFormat/>
    <w:pPr>
      <w:keepLines/>
      <w:keepNext/>
      <w:spacing w:before="240" w:after="64" w:line="320" w:lineRule="atLeast"/>
      <w:outlineLvl w:val="8"/>
    </w:pPr>
    <w:rPr>
      <w:rFonts w:ascii="Arial" w:hAnsi="Arial" w:eastAsia="黑体"/>
      <w:szCs w:val="20"/>
    </w:rPr>
  </w:style>
  <w:style w:type="character" w:styleId="1078">
    <w:name w:val="默认段落字体"/>
    <w:next w:val="1078"/>
    <w:link w:val="1068"/>
    <w:uiPriority w:val="1"/>
    <w:unhideWhenUsed/>
    <w:qFormat/>
  </w:style>
  <w:style w:type="table" w:styleId="1079">
    <w:name w:val="普通表格"/>
    <w:next w:val="1079"/>
    <w:link w:val="1068"/>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80">
    <w:name w:val="标题 1 字符"/>
    <w:next w:val="1080"/>
    <w:link w:val="1069"/>
    <w:qFormat/>
    <w:rPr>
      <w:rFonts w:ascii="宋体"/>
      <w:b/>
      <w:sz w:val="32"/>
    </w:rPr>
  </w:style>
  <w:style w:type="character" w:styleId="1081">
    <w:name w:val="标题 2 字符"/>
    <w:next w:val="1081"/>
    <w:link w:val="1070"/>
    <w:qFormat/>
    <w:rPr>
      <w:rFonts w:ascii="Arial" w:hAnsi="Arial" w:eastAsia="黑体"/>
      <w:b/>
      <w:sz w:val="30"/>
      <w:lang w:val="en-US" w:eastAsia="zh-CN" w:bidi="ar-SA"/>
    </w:rPr>
  </w:style>
  <w:style w:type="paragraph" w:styleId="1082">
    <w:name w:val="正文缩进"/>
    <w:basedOn w:val="1068"/>
    <w:next w:val="1082"/>
    <w:link w:val="1083"/>
    <w:uiPriority w:val="99"/>
    <w:qFormat/>
    <w:pPr>
      <w:ind w:firstLine="420"/>
      <w:jc w:val="left"/>
    </w:pPr>
    <w:rPr>
      <w:rFonts w:ascii="宋体"/>
      <w:sz w:val="24"/>
    </w:rPr>
  </w:style>
  <w:style w:type="character" w:styleId="1083">
    <w:name w:val="正文缩进 字符1"/>
    <w:next w:val="1083"/>
    <w:link w:val="1082"/>
    <w:qFormat/>
    <w:rPr>
      <w:rFonts w:ascii="宋体" w:eastAsia="宋体"/>
      <w:sz w:val="24"/>
      <w:szCs w:val="24"/>
      <w:lang w:val="en-US" w:eastAsia="zh-CN" w:bidi="ar-SA"/>
    </w:rPr>
  </w:style>
  <w:style w:type="character" w:styleId="1084">
    <w:name w:val="标题 3 字符"/>
    <w:next w:val="1084"/>
    <w:link w:val="1071"/>
    <w:qFormat/>
    <w:rPr>
      <w:rFonts w:ascii="宋体" w:eastAsia="宋体"/>
      <w:b/>
      <w:sz w:val="24"/>
      <w:u w:val="single"/>
      <w:lang w:val="en-US" w:eastAsia="zh-CN" w:bidi="ar-SA"/>
    </w:rPr>
  </w:style>
  <w:style w:type="character" w:styleId="1085">
    <w:name w:val="标题 4 字符"/>
    <w:next w:val="1085"/>
    <w:link w:val="1072"/>
    <w:qFormat/>
    <w:rPr>
      <w:rFonts w:ascii="Arial" w:hAnsi="Arial" w:eastAsia="黑体"/>
      <w:b/>
      <w:sz w:val="28"/>
    </w:rPr>
  </w:style>
  <w:style w:type="character" w:styleId="1086">
    <w:name w:val="标题 5 字符"/>
    <w:next w:val="1086"/>
    <w:link w:val="1073"/>
    <w:qFormat/>
    <w:rPr>
      <w:b/>
      <w:sz w:val="28"/>
    </w:rPr>
  </w:style>
  <w:style w:type="character" w:styleId="1087">
    <w:name w:val="标题 6 字符"/>
    <w:next w:val="1087"/>
    <w:link w:val="1074"/>
    <w:qFormat/>
    <w:rPr>
      <w:rFonts w:ascii="Arial" w:hAnsi="Arial" w:eastAsia="黑体"/>
      <w:b/>
      <w:sz w:val="24"/>
    </w:rPr>
  </w:style>
  <w:style w:type="character" w:styleId="1088">
    <w:name w:val="标题 7 字符"/>
    <w:next w:val="1088"/>
    <w:link w:val="1075"/>
    <w:qFormat/>
    <w:rPr>
      <w:b/>
      <w:sz w:val="24"/>
    </w:rPr>
  </w:style>
  <w:style w:type="character" w:styleId="1089">
    <w:name w:val="标题 8 字符"/>
    <w:next w:val="1089"/>
    <w:link w:val="1076"/>
    <w:qFormat/>
    <w:rPr>
      <w:rFonts w:ascii="Arial" w:hAnsi="Arial" w:eastAsia="黑体"/>
      <w:sz w:val="24"/>
    </w:rPr>
  </w:style>
  <w:style w:type="character" w:styleId="1090">
    <w:name w:val="标题 9 字符"/>
    <w:next w:val="1090"/>
    <w:link w:val="1077"/>
    <w:qFormat/>
    <w:rPr>
      <w:rFonts w:ascii="Arial" w:hAnsi="Arial" w:eastAsia="黑体"/>
      <w:sz w:val="21"/>
    </w:rPr>
  </w:style>
  <w:style w:type="paragraph" w:styleId="1091">
    <w:name w:val="目录 7"/>
    <w:basedOn w:val="1068"/>
    <w:next w:val="1068"/>
    <w:link w:val="1068"/>
    <w:qFormat/>
    <w:pPr>
      <w:ind w:left="2520"/>
    </w:pPr>
  </w:style>
  <w:style w:type="paragraph" w:styleId="1092">
    <w:name w:val="题注"/>
    <w:basedOn w:val="1068"/>
    <w:next w:val="1068"/>
    <w:link w:val="1068"/>
    <w:qFormat/>
    <w:pPr>
      <w:spacing w:line="480" w:lineRule="auto"/>
    </w:pPr>
    <w:rPr>
      <w:rFonts w:ascii="华文中宋" w:hAnsi="华文中宋" w:eastAsia="华文中宋"/>
      <w:sz w:val="36"/>
      <w:szCs w:val="20"/>
    </w:rPr>
  </w:style>
  <w:style w:type="paragraph" w:styleId="1093">
    <w:name w:val="文档结构图"/>
    <w:basedOn w:val="1068"/>
    <w:next w:val="1093"/>
    <w:link w:val="1094"/>
    <w:qFormat/>
    <w:pPr>
      <w:shd w:val="clear" w:color="auto" w:fill="000080"/>
    </w:pPr>
  </w:style>
  <w:style w:type="character" w:styleId="1094">
    <w:name w:val="文档结构图 字符"/>
    <w:next w:val="1094"/>
    <w:link w:val="1093"/>
    <w:qFormat/>
    <w:rPr>
      <w:sz w:val="21"/>
      <w:szCs w:val="24"/>
      <w:shd w:val="clear" w:color="auto" w:fill="000080"/>
    </w:rPr>
  </w:style>
  <w:style w:type="paragraph" w:styleId="1095">
    <w:name w:val="批注文字"/>
    <w:basedOn w:val="1068"/>
    <w:next w:val="1095"/>
    <w:link w:val="1096"/>
    <w:uiPriority w:val="99"/>
    <w:qFormat/>
    <w:pPr>
      <w:jc w:val="left"/>
    </w:pPr>
  </w:style>
  <w:style w:type="character" w:styleId="1096">
    <w:name w:val="批注文字 字符1"/>
    <w:next w:val="1096"/>
    <w:link w:val="1095"/>
    <w:uiPriority w:val="99"/>
    <w:qFormat/>
    <w:rPr>
      <w:sz w:val="21"/>
      <w:szCs w:val="24"/>
    </w:rPr>
  </w:style>
  <w:style w:type="paragraph" w:styleId="1097">
    <w:name w:val="正文文本 3"/>
    <w:basedOn w:val="1068"/>
    <w:next w:val="1097"/>
    <w:link w:val="1098"/>
    <w:qFormat/>
    <w:pPr>
      <w:spacing w:after="120"/>
    </w:pPr>
    <w:rPr>
      <w:sz w:val="16"/>
      <w:szCs w:val="16"/>
    </w:rPr>
  </w:style>
  <w:style w:type="character" w:styleId="1098">
    <w:name w:val="正文文本 3 字符"/>
    <w:next w:val="1098"/>
    <w:link w:val="1097"/>
    <w:qFormat/>
    <w:rPr>
      <w:sz w:val="16"/>
      <w:szCs w:val="16"/>
    </w:rPr>
  </w:style>
  <w:style w:type="paragraph" w:styleId="1099">
    <w:name w:val="正文文本"/>
    <w:basedOn w:val="1068"/>
    <w:next w:val="1099"/>
    <w:link w:val="1100"/>
    <w:qFormat/>
    <w:pPr>
      <w:spacing w:before="120" w:line="22" w:lineRule="atLeast"/>
      <w:tabs>
        <w:tab w:val="left" w:pos="567" w:leader="none"/>
      </w:tabs>
    </w:pPr>
    <w:rPr>
      <w:rFonts w:ascii="宋体" w:hAnsi="宋体"/>
      <w:sz w:val="24"/>
    </w:rPr>
  </w:style>
  <w:style w:type="character" w:styleId="1100">
    <w:name w:val="正文文本 字符1"/>
    <w:next w:val="1100"/>
    <w:link w:val="1099"/>
    <w:qFormat/>
    <w:rPr>
      <w:rFonts w:ascii="宋体" w:hAnsi="宋体"/>
      <w:sz w:val="24"/>
      <w:szCs w:val="24"/>
    </w:rPr>
  </w:style>
  <w:style w:type="paragraph" w:styleId="1101">
    <w:name w:val="正文文本缩进"/>
    <w:basedOn w:val="1068"/>
    <w:next w:val="1101"/>
    <w:link w:val="1102"/>
    <w:qFormat/>
    <w:pPr>
      <w:ind w:firstLine="570"/>
      <w:spacing w:line="360" w:lineRule="auto"/>
    </w:pPr>
    <w:rPr>
      <w:sz w:val="24"/>
    </w:rPr>
  </w:style>
  <w:style w:type="character" w:styleId="1102">
    <w:name w:val="正文文本缩进 字符"/>
    <w:next w:val="1102"/>
    <w:link w:val="1101"/>
    <w:qFormat/>
    <w:rPr>
      <w:rFonts w:eastAsia="宋体"/>
      <w:sz w:val="24"/>
      <w:szCs w:val="24"/>
      <w:lang w:val="en-US" w:eastAsia="zh-CN" w:bidi="ar-SA"/>
    </w:rPr>
  </w:style>
  <w:style w:type="paragraph" w:styleId="1103">
    <w:name w:val="列表 2"/>
    <w:basedOn w:val="1068"/>
    <w:next w:val="1103"/>
    <w:link w:val="1068"/>
    <w:qFormat/>
    <w:pPr>
      <w:ind w:left="100" w:hanging="200"/>
    </w:pPr>
  </w:style>
  <w:style w:type="paragraph" w:styleId="1104">
    <w:name w:val="文本块"/>
    <w:basedOn w:val="1068"/>
    <w:next w:val="1104"/>
    <w:link w:val="1068"/>
    <w:qFormat/>
    <w:pPr>
      <w:ind w:left="480" w:right="-341" w:firstLine="513"/>
      <w:widowControl/>
    </w:pPr>
    <w:rPr>
      <w:sz w:val="24"/>
      <w:szCs w:val="20"/>
    </w:rPr>
  </w:style>
  <w:style w:type="paragraph" w:styleId="1105">
    <w:name w:val="目录 5"/>
    <w:basedOn w:val="1068"/>
    <w:next w:val="1068"/>
    <w:link w:val="1068"/>
    <w:qFormat/>
    <w:pPr>
      <w:ind w:left="1680"/>
    </w:pPr>
  </w:style>
  <w:style w:type="paragraph" w:styleId="1106">
    <w:name w:val="目录 3"/>
    <w:basedOn w:val="1068"/>
    <w:next w:val="1068"/>
    <w:link w:val="1068"/>
    <w:uiPriority w:val="39"/>
    <w:qFormat/>
    <w:pPr>
      <w:ind w:left="840"/>
    </w:pPr>
  </w:style>
  <w:style w:type="paragraph" w:styleId="1107">
    <w:name w:val="纯文本"/>
    <w:basedOn w:val="1068"/>
    <w:next w:val="1107"/>
    <w:link w:val="1108"/>
    <w:uiPriority w:val="99"/>
    <w:qFormat/>
    <w:rPr>
      <w:rFonts w:hint="eastAsia" w:ascii="宋体" w:hAnsi="Courier New"/>
      <w:szCs w:val="20"/>
    </w:rPr>
  </w:style>
  <w:style w:type="character" w:styleId="1108">
    <w:name w:val="纯文本 字符2"/>
    <w:next w:val="1108"/>
    <w:link w:val="1107"/>
    <w:qFormat/>
    <w:rPr>
      <w:rFonts w:hint="eastAsia" w:ascii="宋体" w:hAnsi="Courier New" w:eastAsia="宋体" w:cs="宋体"/>
      <w:sz w:val="21"/>
    </w:rPr>
  </w:style>
  <w:style w:type="paragraph" w:styleId="1109">
    <w:name w:val="目录 8"/>
    <w:basedOn w:val="1068"/>
    <w:next w:val="1068"/>
    <w:link w:val="1068"/>
    <w:qFormat/>
    <w:pPr>
      <w:ind w:left="2940"/>
    </w:pPr>
  </w:style>
  <w:style w:type="paragraph" w:styleId="1110">
    <w:name w:val="日期"/>
    <w:basedOn w:val="1068"/>
    <w:next w:val="1068"/>
    <w:link w:val="1111"/>
    <w:qFormat/>
    <w:pPr>
      <w:ind w:left="100"/>
    </w:pPr>
    <w:rPr>
      <w:rFonts w:ascii="仿宋_GB2312" w:hAnsi="宋体" w:eastAsia="仿宋_GB2312"/>
      <w:color w:val="000000"/>
      <w:sz w:val="24"/>
    </w:rPr>
  </w:style>
  <w:style w:type="character" w:styleId="1111">
    <w:name w:val="日期 字符"/>
    <w:next w:val="1111"/>
    <w:link w:val="1110"/>
    <w:qFormat/>
    <w:rPr>
      <w:rFonts w:ascii="仿宋_GB2312" w:hAnsi="宋体" w:eastAsia="仿宋_GB2312"/>
      <w:color w:val="000000"/>
      <w:sz w:val="24"/>
      <w:szCs w:val="24"/>
    </w:rPr>
  </w:style>
  <w:style w:type="paragraph" w:styleId="1112">
    <w:name w:val="正文文本缩进 2"/>
    <w:basedOn w:val="1068"/>
    <w:next w:val="1112"/>
    <w:link w:val="1113"/>
    <w:qFormat/>
    <w:pPr>
      <w:ind w:firstLine="480"/>
    </w:pPr>
    <w:rPr>
      <w:rFonts w:ascii="仿宋_GB2312" w:eastAsia="仿宋_GB2312"/>
      <w:sz w:val="24"/>
    </w:rPr>
  </w:style>
  <w:style w:type="character" w:styleId="1113">
    <w:name w:val="正文文本缩进 2 字符"/>
    <w:next w:val="1113"/>
    <w:link w:val="1112"/>
    <w:qFormat/>
    <w:rPr>
      <w:rFonts w:ascii="仿宋_GB2312" w:eastAsia="仿宋_GB2312"/>
      <w:sz w:val="24"/>
      <w:szCs w:val="24"/>
    </w:rPr>
  </w:style>
  <w:style w:type="paragraph" w:styleId="1114">
    <w:name w:val="批注框文本"/>
    <w:basedOn w:val="1068"/>
    <w:next w:val="1114"/>
    <w:link w:val="1115"/>
    <w:qFormat/>
    <w:rPr>
      <w:sz w:val="18"/>
      <w:szCs w:val="18"/>
    </w:rPr>
  </w:style>
  <w:style w:type="character" w:styleId="1115">
    <w:name w:val="批注框文本 字符"/>
    <w:next w:val="1115"/>
    <w:link w:val="1114"/>
    <w:qFormat/>
    <w:rPr>
      <w:sz w:val="18"/>
      <w:szCs w:val="18"/>
    </w:rPr>
  </w:style>
  <w:style w:type="paragraph" w:styleId="1116">
    <w:name w:val="页脚"/>
    <w:basedOn w:val="1068"/>
    <w:next w:val="1116"/>
    <w:link w:val="1117"/>
    <w:uiPriority w:val="99"/>
    <w:qFormat/>
    <w:pPr>
      <w:jc w:val="left"/>
      <w:tabs>
        <w:tab w:val="center" w:pos="4153" w:leader="none"/>
        <w:tab w:val="right" w:pos="8306" w:leader="none"/>
      </w:tabs>
    </w:pPr>
    <w:rPr>
      <w:rFonts w:ascii="宋体"/>
      <w:sz w:val="18"/>
      <w:szCs w:val="20"/>
    </w:rPr>
  </w:style>
  <w:style w:type="character" w:styleId="1117">
    <w:name w:val="页脚 字符"/>
    <w:next w:val="1117"/>
    <w:link w:val="1116"/>
    <w:uiPriority w:val="99"/>
    <w:qFormat/>
    <w:rPr>
      <w:rFonts w:ascii="宋体" w:eastAsia="宋体"/>
      <w:sz w:val="18"/>
      <w:lang w:val="en-US" w:eastAsia="zh-CN" w:bidi="ar-SA"/>
    </w:rPr>
  </w:style>
  <w:style w:type="paragraph" w:styleId="1118">
    <w:name w:val="页眉"/>
    <w:basedOn w:val="1068"/>
    <w:next w:val="1118"/>
    <w:link w:val="1119"/>
    <w:qFormat/>
    <w:pPr>
      <w:jc w:val="center"/>
      <w:tabs>
        <w:tab w:val="center" w:pos="4153" w:leader="none"/>
        <w:tab w:val="right" w:pos="8306" w:leader="none"/>
      </w:tabs>
      <w:pBdr>
        <w:bottom w:val="single" w:color="000000" w:sz="6" w:space="1"/>
      </w:pBdr>
    </w:pPr>
    <w:rPr>
      <w:sz w:val="18"/>
      <w:szCs w:val="18"/>
    </w:rPr>
  </w:style>
  <w:style w:type="character" w:styleId="1119">
    <w:name w:val="页眉 字符"/>
    <w:next w:val="1119"/>
    <w:link w:val="1118"/>
    <w:qFormat/>
    <w:rPr>
      <w:rFonts w:eastAsia="宋体"/>
      <w:sz w:val="18"/>
      <w:szCs w:val="18"/>
      <w:lang w:val="en-US" w:eastAsia="zh-CN" w:bidi="ar-SA"/>
    </w:rPr>
  </w:style>
  <w:style w:type="paragraph" w:styleId="1120">
    <w:name w:val="目录 1"/>
    <w:basedOn w:val="1068"/>
    <w:next w:val="1068"/>
    <w:link w:val="1068"/>
    <w:uiPriority w:val="39"/>
    <w:qFormat/>
    <w:pPr>
      <w:spacing w:line="300" w:lineRule="auto"/>
      <w:tabs>
        <w:tab w:val="left" w:pos="1050" w:leader="none"/>
        <w:tab w:val="right" w:pos="8937" w:leader="dot"/>
      </w:tabs>
    </w:pPr>
    <w:rPr>
      <w:rFonts w:ascii="宋体" w:hAnsi="宋体"/>
      <w:b/>
      <w:sz w:val="24"/>
    </w:rPr>
  </w:style>
  <w:style w:type="paragraph" w:styleId="1121">
    <w:name w:val="目录 4"/>
    <w:basedOn w:val="1068"/>
    <w:next w:val="1068"/>
    <w:link w:val="1068"/>
    <w:qFormat/>
    <w:pPr>
      <w:ind w:left="1260"/>
    </w:pPr>
  </w:style>
  <w:style w:type="paragraph" w:styleId="1122">
    <w:name w:val="目录 6"/>
    <w:basedOn w:val="1068"/>
    <w:next w:val="1068"/>
    <w:link w:val="1068"/>
    <w:qFormat/>
    <w:pPr>
      <w:ind w:left="2100"/>
    </w:pPr>
  </w:style>
  <w:style w:type="paragraph" w:styleId="1123">
    <w:name w:val="正文文本缩进 3"/>
    <w:basedOn w:val="1068"/>
    <w:next w:val="1123"/>
    <w:link w:val="1124"/>
    <w:qFormat/>
    <w:pPr>
      <w:ind w:left="720" w:firstLine="480"/>
      <w:jc w:val="left"/>
      <w:spacing w:before="120" w:line="22" w:lineRule="atLeast"/>
    </w:pPr>
    <w:rPr>
      <w:rFonts w:ascii="宋体"/>
      <w:sz w:val="24"/>
      <w:szCs w:val="20"/>
    </w:rPr>
  </w:style>
  <w:style w:type="character" w:styleId="1124">
    <w:name w:val="正文文本缩进 3 字符"/>
    <w:next w:val="1124"/>
    <w:link w:val="1123"/>
    <w:qFormat/>
    <w:rPr>
      <w:rFonts w:ascii="宋体"/>
      <w:sz w:val="24"/>
    </w:rPr>
  </w:style>
  <w:style w:type="paragraph" w:styleId="1125">
    <w:name w:val="目录 2"/>
    <w:basedOn w:val="1068"/>
    <w:next w:val="1068"/>
    <w:link w:val="1068"/>
    <w:uiPriority w:val="39"/>
    <w:qFormat/>
    <w:pPr>
      <w:ind w:left="420"/>
      <w:spacing w:line="312" w:lineRule="auto"/>
      <w:tabs>
        <w:tab w:val="right" w:pos="8937" w:leader="dot"/>
      </w:tabs>
    </w:pPr>
  </w:style>
  <w:style w:type="paragraph" w:styleId="1126">
    <w:name w:val="目录 9"/>
    <w:basedOn w:val="1068"/>
    <w:next w:val="1068"/>
    <w:link w:val="1068"/>
    <w:qFormat/>
    <w:pPr>
      <w:ind w:left="3360"/>
    </w:pPr>
  </w:style>
  <w:style w:type="paragraph" w:styleId="1127">
    <w:name w:val="HTML 预设格式"/>
    <w:basedOn w:val="1068"/>
    <w:next w:val="1127"/>
    <w:link w:val="112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8">
    <w:name w:val="HTML 预设格式 字符"/>
    <w:next w:val="1128"/>
    <w:link w:val="1127"/>
    <w:qFormat/>
    <w:rPr>
      <w:rFonts w:ascii="宋体" w:hAnsi="宋体" w:cs="宋体"/>
      <w:sz w:val="24"/>
      <w:szCs w:val="24"/>
    </w:rPr>
  </w:style>
  <w:style w:type="paragraph" w:styleId="1129">
    <w:name w:val="普通(网站)"/>
    <w:basedOn w:val="1068"/>
    <w:next w:val="1129"/>
    <w:link w:val="1068"/>
    <w:uiPriority w:val="99"/>
    <w:unhideWhenUsed/>
    <w:qFormat/>
    <w:pPr>
      <w:jc w:val="left"/>
      <w:spacing w:before="100" w:beforeAutospacing="1" w:after="100" w:afterAutospacing="1"/>
      <w:widowControl/>
    </w:pPr>
    <w:rPr>
      <w:rFonts w:ascii="宋体" w:hAnsi="宋体" w:cs="宋体"/>
      <w:sz w:val="24"/>
    </w:rPr>
  </w:style>
  <w:style w:type="paragraph" w:styleId="1130">
    <w:name w:val="索引 1"/>
    <w:basedOn w:val="1068"/>
    <w:next w:val="1068"/>
    <w:link w:val="1068"/>
    <w:qFormat/>
    <w:rPr>
      <w:szCs w:val="20"/>
    </w:rPr>
  </w:style>
  <w:style w:type="paragraph" w:styleId="1131">
    <w:name w:val="标题"/>
    <w:basedOn w:val="1068"/>
    <w:next w:val="1131"/>
    <w:link w:val="1132"/>
    <w:qFormat/>
    <w:pPr>
      <w:jc w:val="center"/>
      <w:outlineLvl w:val="0"/>
    </w:pPr>
    <w:rPr>
      <w:b/>
      <w:sz w:val="32"/>
      <w:szCs w:val="20"/>
    </w:rPr>
  </w:style>
  <w:style w:type="character" w:styleId="1132">
    <w:name w:val="标题 字符"/>
    <w:next w:val="1132"/>
    <w:link w:val="1131"/>
    <w:qFormat/>
    <w:rPr>
      <w:b/>
      <w:sz w:val="32"/>
    </w:rPr>
  </w:style>
  <w:style w:type="paragraph" w:styleId="1133">
    <w:name w:val="批注主题"/>
    <w:basedOn w:val="1095"/>
    <w:next w:val="1095"/>
    <w:link w:val="1134"/>
    <w:qFormat/>
    <w:rPr>
      <w:b/>
      <w:bCs/>
    </w:rPr>
  </w:style>
  <w:style w:type="character" w:styleId="1134">
    <w:name w:val="批注主题 字符"/>
    <w:next w:val="1134"/>
    <w:link w:val="1133"/>
    <w:qFormat/>
    <w:rPr>
      <w:rFonts w:ascii="Times New Roman" w:hAnsi="Times New Roman" w:eastAsia="宋体" w:cs="Times New Roman"/>
      <w:b/>
      <w:bCs/>
      <w:sz w:val="21"/>
      <w:szCs w:val="24"/>
      <w:lang w:val="en-US" w:eastAsia="zh-CN" w:bidi="ar-SA"/>
    </w:rPr>
  </w:style>
  <w:style w:type="paragraph" w:styleId="1135">
    <w:name w:val="正文首行缩进 2"/>
    <w:basedOn w:val="1101"/>
    <w:next w:val="1135"/>
    <w:link w:val="1136"/>
    <w:qFormat/>
    <w:pPr>
      <w:ind w:left="420" w:firstLine="420"/>
      <w:spacing w:after="120" w:line="480" w:lineRule="exact"/>
    </w:pPr>
    <w:rPr>
      <w:szCs w:val="20"/>
    </w:rPr>
  </w:style>
  <w:style w:type="character" w:styleId="1136">
    <w:name w:val="正文首行缩进 2 字符"/>
    <w:next w:val="1136"/>
    <w:link w:val="1135"/>
    <w:qFormat/>
    <w:rPr>
      <w:rFonts w:eastAsia="宋体"/>
      <w:sz w:val="24"/>
      <w:szCs w:val="24"/>
      <w:lang w:val="en-US" w:eastAsia="zh-CN" w:bidi="ar-SA"/>
    </w:rPr>
  </w:style>
  <w:style w:type="table" w:styleId="1137">
    <w:name w:val="网格型"/>
    <w:basedOn w:val="1079"/>
    <w:next w:val="1137"/>
    <w:link w:val="1068"/>
    <w:uiPriority w:val="39"/>
    <w:qFormat/>
    <w:tblPr/>
  </w:style>
  <w:style w:type="table" w:styleId="1138">
    <w:name w:val="中等深浅网格 1 - 强调文字颜色 2"/>
    <w:basedOn w:val="1079"/>
    <w:next w:val="1138"/>
    <w:link w:val="1068"/>
    <w:qFormat/>
    <w:rPr>
      <w:sz w:val="21"/>
      <w:szCs w:val="24"/>
    </w:rPr>
    <w:tblPr/>
  </w:style>
  <w:style w:type="character" w:styleId="1139">
    <w:name w:val="要点"/>
    <w:next w:val="1139"/>
    <w:link w:val="1068"/>
    <w:qFormat/>
    <w:rPr>
      <w:b/>
      <w:bCs/>
    </w:rPr>
  </w:style>
  <w:style w:type="character" w:styleId="1140">
    <w:name w:val="页码"/>
    <w:next w:val="1140"/>
    <w:link w:val="1068"/>
    <w:qFormat/>
  </w:style>
  <w:style w:type="character" w:styleId="1141">
    <w:name w:val="已访问的超链接"/>
    <w:next w:val="1141"/>
    <w:link w:val="1068"/>
    <w:qFormat/>
    <w:rPr>
      <w:color w:val="800080"/>
      <w:u w:val="single"/>
    </w:rPr>
  </w:style>
  <w:style w:type="character" w:styleId="1142">
    <w:name w:val="强调"/>
    <w:next w:val="1142"/>
    <w:link w:val="1068"/>
    <w:qFormat/>
    <w:rPr>
      <w:color w:val="cc0033"/>
    </w:rPr>
  </w:style>
  <w:style w:type="character" w:styleId="1143">
    <w:name w:val="超链接"/>
    <w:next w:val="1143"/>
    <w:link w:val="1068"/>
    <w:uiPriority w:val="99"/>
    <w:qFormat/>
    <w:rPr>
      <w:color w:val="0000ff"/>
      <w:u w:val="single"/>
    </w:rPr>
  </w:style>
  <w:style w:type="character" w:styleId="1144">
    <w:name w:val="批注引用"/>
    <w:next w:val="1144"/>
    <w:link w:val="1068"/>
    <w:uiPriority w:val="99"/>
    <w:qFormat/>
    <w:rPr>
      <w:sz w:val="21"/>
      <w:szCs w:val="21"/>
    </w:rPr>
  </w:style>
  <w:style w:type="character" w:styleId="1145">
    <w:name w:val="HTML 引文"/>
    <w:next w:val="1145"/>
    <w:link w:val="1068"/>
    <w:qFormat/>
    <w:rPr>
      <w:i/>
      <w:iCs/>
    </w:rPr>
  </w:style>
  <w:style w:type="character" w:styleId="1146">
    <w:name w:val="批注文字 字符"/>
    <w:next w:val="1146"/>
    <w:link w:val="1068"/>
    <w:uiPriority w:val="99"/>
    <w:qFormat/>
    <w:rPr>
      <w:rFonts w:ascii="Times New Roman" w:hAnsi="Times New Roman" w:eastAsia="宋体" w:cs="Times New Roman"/>
      <w:sz w:val="24"/>
      <w:lang w:val="en-US" w:eastAsia="zh-CN" w:bidi="ar-SA"/>
    </w:rPr>
  </w:style>
  <w:style w:type="character" w:styleId="1147">
    <w:name w:val="c21"/>
    <w:next w:val="1147"/>
    <w:link w:val="1068"/>
    <w:qFormat/>
    <w:rPr>
      <w:rFonts w:ascii="ˎ̥" w:hAnsi="ˎ̥"/>
      <w:color w:val="000000"/>
      <w:sz w:val="20"/>
      <w:szCs w:val="20"/>
      <w:u w:val="none"/>
    </w:rPr>
  </w:style>
  <w:style w:type="character" w:styleId="1148">
    <w:name w:val="title4"/>
    <w:next w:val="1148"/>
    <w:link w:val="1068"/>
    <w:qFormat/>
    <w:rPr>
      <w:b/>
      <w:bCs/>
      <w:color w:val="1d87b3"/>
      <w:sz w:val="15"/>
      <w:szCs w:val="15"/>
    </w:rPr>
  </w:style>
  <w:style w:type="character" w:styleId="1149">
    <w:name w:val="标题 2 Char Char"/>
    <w:next w:val="1149"/>
    <w:link w:val="1068"/>
    <w:qFormat/>
    <w:rPr>
      <w:rFonts w:ascii="Arial" w:hAnsi="Arial" w:eastAsia="黑体"/>
      <w:b/>
      <w:bCs/>
      <w:sz w:val="32"/>
      <w:szCs w:val="32"/>
      <w:lang w:val="en-US" w:eastAsia="zh-CN" w:bidi="ar-SA"/>
    </w:rPr>
  </w:style>
  <w:style w:type="character" w:styleId="1150">
    <w:name w:val="black1"/>
    <w:next w:val="1150"/>
    <w:link w:val="1068"/>
    <w:qFormat/>
    <w:rPr>
      <w:color w:val="000000"/>
    </w:rPr>
  </w:style>
  <w:style w:type="character" w:styleId="1151">
    <w:name w:val="street-address"/>
    <w:next w:val="1151"/>
    <w:link w:val="1068"/>
    <w:qFormat/>
  </w:style>
  <w:style w:type="character" w:styleId="1152">
    <w:name w:val="locality"/>
    <w:next w:val="1152"/>
    <w:link w:val="1068"/>
    <w:qFormat/>
  </w:style>
  <w:style w:type="character" w:styleId="1153">
    <w:name w:val="正文文本缩进 Char1"/>
    <w:next w:val="1153"/>
    <w:link w:val="1154"/>
    <w:qFormat/>
    <w:rPr>
      <w:rFonts w:ascii="宋体" w:hAnsi="宋体" w:eastAsia="宋体"/>
      <w:sz w:val="24"/>
      <w:szCs w:val="24"/>
      <w:lang w:bidi="ar-SA"/>
    </w:rPr>
  </w:style>
  <w:style w:type="paragraph" w:styleId="1154">
    <w:name w:val="正文文本缩进1"/>
    <w:basedOn w:val="1068"/>
    <w:next w:val="1154"/>
    <w:link w:val="1153"/>
    <w:qFormat/>
    <w:pPr>
      <w:ind w:firstLine="480"/>
      <w:spacing w:line="480" w:lineRule="exact"/>
    </w:pPr>
    <w:rPr>
      <w:rFonts w:ascii="宋体" w:hAnsi="宋体"/>
      <w:sz w:val="24"/>
    </w:rPr>
  </w:style>
  <w:style w:type="character" w:styleId="1155">
    <w:name w:val="Char Char11"/>
    <w:next w:val="1155"/>
    <w:link w:val="1068"/>
    <w:qFormat/>
    <w:rPr>
      <w:rFonts w:ascii="宋体" w:eastAsia="宋体"/>
      <w:b/>
      <w:sz w:val="24"/>
      <w:u w:val="single"/>
      <w:lang w:val="en-US" w:eastAsia="zh-CN" w:bidi="ar-SA"/>
    </w:rPr>
  </w:style>
  <w:style w:type="character" w:styleId="1156">
    <w:name w:val="txt"/>
    <w:next w:val="1156"/>
    <w:link w:val="1068"/>
    <w:qFormat/>
  </w:style>
  <w:style w:type="character" w:styleId="1157">
    <w:name w:val="正文缩进 Char Char"/>
    <w:next w:val="1157"/>
    <w:link w:val="1158"/>
    <w:qFormat/>
    <w:rPr>
      <w:rFonts w:ascii="宋体" w:eastAsia="宋体"/>
      <w:color w:val="000000"/>
      <w:sz w:val="28"/>
      <w:lang w:bidi="ar-SA"/>
    </w:rPr>
  </w:style>
  <w:style w:type="paragraph" w:styleId="1158">
    <w:name w:val="正文缩进1"/>
    <w:basedOn w:val="1068"/>
    <w:next w:val="1158"/>
    <w:link w:val="1157"/>
    <w:qFormat/>
    <w:pPr>
      <w:ind w:firstLine="567"/>
      <w:spacing w:line="480" w:lineRule="exact"/>
      <w:widowControl/>
    </w:pPr>
    <w:rPr>
      <w:rFonts w:ascii="宋体"/>
      <w:color w:val="000000"/>
      <w:sz w:val="28"/>
      <w:szCs w:val="20"/>
    </w:rPr>
  </w:style>
  <w:style w:type="character" w:styleId="1159">
    <w:name w:val="普通文字1 Char1"/>
    <w:next w:val="1159"/>
    <w:link w:val="1068"/>
    <w:qFormat/>
    <w:rPr>
      <w:rFonts w:ascii="宋体" w:hAnsi="Courier New" w:eastAsia="宋体"/>
      <w:sz w:val="21"/>
      <w:lang w:val="en-US" w:eastAsia="zh-CN" w:bidi="ar-SA"/>
    </w:rPr>
  </w:style>
  <w:style w:type="character" w:styleId="1160">
    <w:name w:val="chanpin1"/>
    <w:next w:val="1160"/>
    <w:link w:val="1068"/>
    <w:qFormat/>
    <w:rPr>
      <w:rFonts w:ascii="ˎ̥" w:hAnsi="ˎ̥"/>
      <w:color w:val="000000"/>
      <w:sz w:val="20"/>
      <w:szCs w:val="20"/>
      <w:u w:val="none"/>
    </w:rPr>
  </w:style>
  <w:style w:type="character" w:styleId="1161">
    <w:name w:val="列出段落 字符"/>
    <w:next w:val="1161"/>
    <w:link w:val="1162"/>
    <w:uiPriority w:val="34"/>
    <w:qFormat/>
    <w:rPr>
      <w:rFonts w:ascii="Calibri" w:hAnsi="Calibri" w:eastAsia="宋体"/>
      <w:sz w:val="21"/>
      <w:szCs w:val="22"/>
      <w:lang w:val="en-US" w:eastAsia="zh-CN" w:bidi="ar-SA"/>
    </w:rPr>
  </w:style>
  <w:style w:type="paragraph" w:styleId="1162">
    <w:name w:val="列出段落"/>
    <w:basedOn w:val="1068"/>
    <w:next w:val="1162"/>
    <w:link w:val="1161"/>
    <w:uiPriority w:val="34"/>
    <w:qFormat/>
    <w:pPr>
      <w:ind w:firstLine="420"/>
    </w:pPr>
    <w:rPr>
      <w:rFonts w:ascii="Calibri" w:hAnsi="Calibri"/>
      <w:szCs w:val="22"/>
    </w:rPr>
  </w:style>
  <w:style w:type="character" w:styleId="1163">
    <w:name w:val="标题 3 Char Char"/>
    <w:next w:val="1163"/>
    <w:link w:val="1068"/>
    <w:qFormat/>
    <w:rPr>
      <w:rFonts w:eastAsia="宋体"/>
      <w:b/>
      <w:bCs/>
      <w:sz w:val="32"/>
      <w:szCs w:val="32"/>
      <w:lang w:val="en-US" w:eastAsia="zh-CN" w:bidi="ar-SA"/>
    </w:rPr>
  </w:style>
  <w:style w:type="character" w:styleId="1164">
    <w:name w:val="段1 Char"/>
    <w:next w:val="1164"/>
    <w:link w:val="1068"/>
    <w:qFormat/>
    <w:rPr>
      <w:rFonts w:ascii="宋体" w:eastAsia="宋体"/>
      <w:sz w:val="24"/>
      <w:lang w:val="en-US" w:eastAsia="zh-CN" w:bidi="ar-SA"/>
    </w:rPr>
  </w:style>
  <w:style w:type="character" w:styleId="1165">
    <w:name w:val="chanpin拷贝"/>
    <w:next w:val="1165"/>
    <w:link w:val="1068"/>
    <w:qFormat/>
  </w:style>
  <w:style w:type="character" w:styleId="1166">
    <w:name w:val="纯文本 Char1"/>
    <w:next w:val="1166"/>
    <w:link w:val="1068"/>
    <w:uiPriority w:val="99"/>
    <w:qFormat/>
    <w:rPr>
      <w:rFonts w:ascii="宋体" w:hAnsi="Courier New" w:eastAsia="宋体"/>
      <w:sz w:val="21"/>
      <w:lang w:val="en-US" w:eastAsia="zh-CN" w:bidi="ar-SA"/>
    </w:rPr>
  </w:style>
  <w:style w:type="character" w:styleId="1167">
    <w:name w:val="apple-style-span"/>
    <w:next w:val="1167"/>
    <w:link w:val="1068"/>
    <w:qFormat/>
    <w:rPr>
      <w:rFonts w:cs="Times New Roman"/>
    </w:rPr>
  </w:style>
  <w:style w:type="paragraph" w:styleId="1168">
    <w:name w:val="二级条标题"/>
    <w:basedOn w:val="1169"/>
    <w:next w:val="1068"/>
    <w:link w:val="1068"/>
    <w:qFormat/>
    <w:pPr>
      <w:numPr>
        <w:ilvl w:val="0"/>
        <w:numId w:val="0"/>
      </w:numPr>
      <w:ind w:hanging="840"/>
      <w:tabs>
        <w:tab w:val="left" w:pos="360" w:leader="none"/>
        <w:tab w:val="left" w:pos="840" w:leader="none"/>
      </w:tabs>
      <w:outlineLvl w:val="2"/>
    </w:pPr>
    <w:rPr>
      <w:rFonts w:ascii="宋体" w:eastAsia="宋体"/>
      <w:b w:val="0"/>
    </w:rPr>
  </w:style>
  <w:style w:type="paragraph" w:styleId="1169">
    <w:name w:val="一级条标题"/>
    <w:basedOn w:val="1170"/>
    <w:next w:val="1068"/>
    <w:link w:val="1068"/>
    <w:qFormat/>
    <w:pPr>
      <w:numPr>
        <w:ilvl w:val="1"/>
      </w:numPr>
      <w:ind w:left="0" w:hanging="840"/>
      <w:tabs>
        <w:tab w:val="left" w:pos="360" w:leader="none"/>
        <w:tab w:val="left" w:pos="840" w:leader="none"/>
      </w:tabs>
      <w:outlineLvl w:val="1"/>
    </w:pPr>
  </w:style>
  <w:style w:type="paragraph" w:styleId="1170">
    <w:name w:val="章标题"/>
    <w:next w:val="1068"/>
    <w:link w:val="106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1">
    <w:name w:val="font7"/>
    <w:basedOn w:val="1068"/>
    <w:next w:val="1171"/>
    <w:link w:val="1068"/>
    <w:qFormat/>
    <w:pPr>
      <w:jc w:val="left"/>
      <w:spacing w:before="100" w:beforeAutospacing="1" w:after="100" w:afterAutospacing="1"/>
      <w:widowControl/>
    </w:pPr>
    <w:rPr>
      <w:rFonts w:eastAsia="Arial Unicode MS"/>
      <w:b/>
      <w:bCs/>
      <w:color w:val="000000"/>
      <w:sz w:val="20"/>
      <w:szCs w:val="20"/>
    </w:rPr>
  </w:style>
  <w:style w:type="paragraph" w:styleId="1172">
    <w:name w:val="字元 字元"/>
    <w:basedOn w:val="1068"/>
    <w:next w:val="1172"/>
    <w:link w:val="1068"/>
    <w:qFormat/>
    <w:rPr>
      <w:rFonts w:ascii="Tahoma" w:hAnsi="Tahoma"/>
      <w:sz w:val="24"/>
      <w:szCs w:val="20"/>
    </w:rPr>
  </w:style>
  <w:style w:type="paragraph" w:styleId="1173">
    <w:name w:val="Char3 Char Char Char"/>
    <w:basedOn w:val="1068"/>
    <w:next w:val="1173"/>
    <w:link w:val="1068"/>
    <w:qFormat/>
    <w:rPr>
      <w:rFonts w:ascii="Tahoma" w:hAnsi="Tahoma"/>
      <w:sz w:val="24"/>
      <w:szCs w:val="20"/>
    </w:rPr>
  </w:style>
  <w:style w:type="paragraph" w:styleId="1174">
    <w:name w:val="font6"/>
    <w:basedOn w:val="1068"/>
    <w:next w:val="1174"/>
    <w:link w:val="1068"/>
    <w:qFormat/>
    <w:pPr>
      <w:jc w:val="left"/>
      <w:spacing w:before="100" w:beforeAutospacing="1" w:after="100" w:afterAutospacing="1"/>
      <w:widowControl/>
    </w:pPr>
    <w:rPr>
      <w:rFonts w:ascii="宋体" w:hAnsi="宋体" w:cs="宋体"/>
      <w:sz w:val="20"/>
      <w:szCs w:val="20"/>
    </w:rPr>
  </w:style>
  <w:style w:type="paragraph" w:styleId="1175">
    <w:name w:val="项目编号2"/>
    <w:basedOn w:val="1176"/>
    <w:next w:val="1175"/>
    <w:link w:val="1068"/>
    <w:qFormat/>
    <w:pPr>
      <w:numPr>
        <w:numId w:val="3"/>
      </w:numPr>
    </w:pPr>
  </w:style>
  <w:style w:type="paragraph" w:styleId="1176">
    <w:name w:val="项目编号1"/>
    <w:basedOn w:val="1068"/>
    <w:next w:val="1176"/>
    <w:link w:val="1068"/>
    <w:qFormat/>
    <w:pPr>
      <w:numPr>
        <w:ilvl w:val="0"/>
        <w:numId w:val="2"/>
      </w:numPr>
      <w:spacing w:before="100" w:beforeAutospacing="1" w:after="100" w:afterAutospacing="1" w:line="360" w:lineRule="auto"/>
    </w:pPr>
    <w:rPr>
      <w:sz w:val="24"/>
    </w:rPr>
  </w:style>
  <w:style w:type="paragraph" w:styleId="1177">
    <w:name w:val="图中文字"/>
    <w:basedOn w:val="1068"/>
    <w:next w:val="1177"/>
    <w:link w:val="1068"/>
    <w:qFormat/>
    <w:pPr>
      <w:jc w:val="center"/>
      <w:spacing w:line="0" w:lineRule="atLeast"/>
    </w:pPr>
    <w:rPr>
      <w:sz w:val="24"/>
      <w:szCs w:val="20"/>
    </w:rPr>
  </w:style>
  <w:style w:type="paragraph" w:styleId="1178">
    <w:name w:val="xl46"/>
    <w:basedOn w:val="1068"/>
    <w:next w:val="1178"/>
    <w:link w:val="106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9">
    <w:name w:val="xl25"/>
    <w:basedOn w:val="1068"/>
    <w:next w:val="1179"/>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0">
    <w:name w:val="Char2"/>
    <w:basedOn w:val="1068"/>
    <w:next w:val="1180"/>
    <w:link w:val="1068"/>
    <w:qFormat/>
    <w:rPr>
      <w:rFonts w:ascii="Tahoma" w:hAnsi="Tahoma"/>
      <w:sz w:val="24"/>
      <w:szCs w:val="20"/>
    </w:rPr>
  </w:style>
  <w:style w:type="paragraph" w:styleId="1181">
    <w:name w:val="xl35"/>
    <w:basedOn w:val="1068"/>
    <w:next w:val="1181"/>
    <w:link w:val="106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2">
    <w:name w:val="xl40"/>
    <w:basedOn w:val="1068"/>
    <w:next w:val="1182"/>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3">
    <w:name w:val="xl52"/>
    <w:basedOn w:val="1068"/>
    <w:next w:val="1183"/>
    <w:link w:val="10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4">
    <w:name w:val="xl43"/>
    <w:basedOn w:val="1068"/>
    <w:next w:val="1184"/>
    <w:link w:val="106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5">
    <w:name w:val="background1"/>
    <w:basedOn w:val="1068"/>
    <w:next w:val="1185"/>
    <w:link w:val="1068"/>
    <w:qFormat/>
    <w:pPr>
      <w:jc w:val="left"/>
      <w:spacing w:before="100" w:beforeAutospacing="1" w:after="100" w:afterAutospacing="1"/>
      <w:widowControl/>
    </w:pPr>
    <w:rPr>
      <w:rFonts w:ascii="宋体" w:hAnsi="宋体" w:cs="宋体"/>
      <w:sz w:val="24"/>
    </w:rPr>
  </w:style>
  <w:style w:type="paragraph" w:styleId="1186">
    <w:name w:val="Char Char Char Char Char Char Char"/>
    <w:basedOn w:val="1068"/>
    <w:next w:val="1186"/>
    <w:link w:val="1068"/>
    <w:qFormat/>
    <w:pPr>
      <w:ind w:firstLine="200"/>
      <w:spacing w:line="360" w:lineRule="auto"/>
    </w:pPr>
    <w:rPr>
      <w:rFonts w:eastAsia="仿宋_GB2312"/>
      <w:sz w:val="24"/>
    </w:rPr>
  </w:style>
  <w:style w:type="paragraph" w:styleId="1187">
    <w:name w:val="xl38"/>
    <w:basedOn w:val="1068"/>
    <w:next w:val="1187"/>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8">
    <w:name w:val="xl36"/>
    <w:basedOn w:val="1068"/>
    <w:next w:val="1188"/>
    <w:link w:val="106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9">
    <w:name w:val="正文 + 宋体"/>
    <w:basedOn w:val="1068"/>
    <w:next w:val="1189"/>
    <w:link w:val="1068"/>
    <w:qFormat/>
    <w:pPr>
      <w:ind w:left="360" w:hanging="360"/>
      <w:jc w:val="left"/>
      <w:widowControl/>
    </w:pPr>
    <w:rPr>
      <w:rFonts w:ascii="宋体" w:hAnsi="宋体" w:cs="宋体"/>
      <w:b/>
      <w:bCs/>
      <w:color w:val="000000"/>
      <w:sz w:val="18"/>
      <w:szCs w:val="18"/>
    </w:rPr>
  </w:style>
  <w:style w:type="paragraph" w:styleId="1190">
    <w:name w:val="正文列项_数字"/>
    <w:basedOn w:val="1068"/>
    <w:next w:val="1190"/>
    <w:link w:val="1068"/>
    <w:qFormat/>
    <w:pPr>
      <w:numPr>
        <w:ilvl w:val="7"/>
        <w:numId w:val="1"/>
      </w:numPr>
      <w:ind w:left="680" w:hanging="150"/>
      <w:spacing w:line="460" w:lineRule="exact"/>
      <w:tabs>
        <w:tab w:val="clear" w:pos="860" w:leader="none"/>
      </w:tabs>
      <w:outlineLvl w:val="7"/>
    </w:pPr>
    <w:rPr>
      <w:rFonts w:ascii="宋体"/>
      <w:sz w:val="28"/>
      <w:szCs w:val="20"/>
    </w:rPr>
  </w:style>
  <w:style w:type="paragraph" w:styleId="1191">
    <w:name w:val="xl39"/>
    <w:basedOn w:val="1068"/>
    <w:next w:val="1191"/>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2">
    <w:name w:val="xl37"/>
    <w:basedOn w:val="1068"/>
    <w:next w:val="1192"/>
    <w:link w:val="106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xl32"/>
    <w:basedOn w:val="1068"/>
    <w:next w:val="1193"/>
    <w:link w:val="10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font8"/>
    <w:basedOn w:val="1068"/>
    <w:next w:val="1194"/>
    <w:link w:val="1068"/>
    <w:qFormat/>
    <w:pPr>
      <w:jc w:val="left"/>
      <w:spacing w:before="100" w:beforeAutospacing="1" w:after="100" w:afterAutospacing="1"/>
      <w:widowControl/>
    </w:pPr>
    <w:rPr>
      <w:sz w:val="36"/>
      <w:szCs w:val="36"/>
    </w:rPr>
  </w:style>
  <w:style w:type="paragraph" w:styleId="1195">
    <w:name w:val="Char"/>
    <w:basedOn w:val="1068"/>
    <w:next w:val="1195"/>
    <w:link w:val="1068"/>
    <w:qFormat/>
    <w:pPr>
      <w:tabs>
        <w:tab w:val="left" w:pos="360" w:leader="none"/>
      </w:tabs>
    </w:pPr>
    <w:rPr>
      <w:sz w:val="24"/>
    </w:rPr>
  </w:style>
  <w:style w:type="paragraph" w:styleId="1196">
    <w:name w:val="Char Char Char Char Char Char Char Char Char Char Char Char Char Char Char Char"/>
    <w:basedOn w:val="1068"/>
    <w:next w:val="1196"/>
    <w:link w:val="1068"/>
    <w:qFormat/>
    <w:pPr>
      <w:jc w:val="center"/>
      <w:spacing w:after="160" w:line="240" w:lineRule="exact"/>
      <w:widowControl/>
    </w:pPr>
    <w:rPr>
      <w:rFonts w:ascii="宋体" w:hAnsi="宋体"/>
      <w:b/>
      <w:sz w:val="30"/>
      <w:szCs w:val="30"/>
      <w:lang w:eastAsia="en-US"/>
    </w:rPr>
  </w:style>
  <w:style w:type="paragraph" w:styleId="1197">
    <w:name w:val="xl45"/>
    <w:basedOn w:val="1068"/>
    <w:next w:val="1197"/>
    <w:link w:val="106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8">
    <w:name w:val="Char Char1 Char Char Char Char Char Char"/>
    <w:basedOn w:val="1068"/>
    <w:next w:val="1198"/>
    <w:link w:val="1068"/>
    <w:qFormat/>
    <w:pPr>
      <w:jc w:val="left"/>
      <w:spacing w:after="160" w:line="240" w:lineRule="exact"/>
      <w:widowControl/>
    </w:pPr>
    <w:rPr>
      <w:rFonts w:ascii="Verdana" w:hAnsi="Verdana" w:eastAsia="仿宋_GB2312"/>
      <w:sz w:val="24"/>
      <w:szCs w:val="20"/>
      <w:lang w:eastAsia="en-US"/>
    </w:rPr>
  </w:style>
  <w:style w:type="paragraph" w:styleId="1199">
    <w:name w:val="Char Char1"/>
    <w:basedOn w:val="1093"/>
    <w:next w:val="1199"/>
    <w:link w:val="1068"/>
    <w:qFormat/>
    <w:rPr>
      <w:rFonts w:ascii="Tahoma" w:hAnsi="Tahoma"/>
      <w:sz w:val="24"/>
    </w:rPr>
  </w:style>
  <w:style w:type="paragraph" w:styleId="1200">
    <w:name w:val="xl26"/>
    <w:basedOn w:val="1068"/>
    <w:next w:val="1200"/>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1">
    <w:name w:val="xl30"/>
    <w:basedOn w:val="1068"/>
    <w:next w:val="1201"/>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2">
    <w:name w:val="xl41"/>
    <w:basedOn w:val="1068"/>
    <w:next w:val="1202"/>
    <w:link w:val="106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3">
    <w:name w:val="样式 宋体 五号 行距: 单倍行距"/>
    <w:basedOn w:val="1068"/>
    <w:next w:val="1203"/>
    <w:link w:val="1068"/>
    <w:qFormat/>
    <w:pPr>
      <w:jc w:val="left"/>
    </w:pPr>
    <w:rPr>
      <w:rFonts w:ascii="宋体" w:hAnsi="宋体"/>
      <w:szCs w:val="20"/>
    </w:rPr>
  </w:style>
  <w:style w:type="paragraph" w:styleId="1204">
    <w:name w:val="Char1 Char Char Char1"/>
    <w:basedOn w:val="1068"/>
    <w:next w:val="1204"/>
    <w:link w:val="1068"/>
    <w:qFormat/>
    <w:rPr>
      <w:rFonts w:ascii="Tahoma" w:hAnsi="Tahoma" w:cs="仿宋_GB2312"/>
      <w:sz w:val="24"/>
      <w:szCs w:val="28"/>
    </w:rPr>
  </w:style>
  <w:style w:type="paragraph" w:styleId="1205">
    <w:name w:val="四级条标题"/>
    <w:basedOn w:val="1206"/>
    <w:next w:val="1068"/>
    <w:link w:val="1068"/>
    <w:qFormat/>
    <w:pPr>
      <w:numPr>
        <w:ilvl w:val="4"/>
      </w:numPr>
      <w:ind w:left="0" w:hanging="840"/>
      <w:tabs>
        <w:tab w:val="left" w:pos="360" w:leader="none"/>
        <w:tab w:val="left" w:pos="840" w:leader="none"/>
      </w:tabs>
      <w:outlineLvl w:val="4"/>
    </w:pPr>
  </w:style>
  <w:style w:type="paragraph" w:styleId="1206">
    <w:name w:val="三级条标题"/>
    <w:basedOn w:val="1168"/>
    <w:next w:val="1068"/>
    <w:link w:val="1068"/>
    <w:qFormat/>
    <w:pPr>
      <w:numPr>
        <w:ilvl w:val="3"/>
        <w:numId w:val="1"/>
      </w:numPr>
      <w:ind w:left="0" w:hanging="840"/>
      <w:tabs>
        <w:tab w:val="left" w:pos="360" w:leader="none"/>
        <w:tab w:val="left" w:pos="840" w:leader="none"/>
      </w:tabs>
      <w:outlineLvl w:val="3"/>
    </w:pPr>
  </w:style>
  <w:style w:type="paragraph" w:styleId="1207">
    <w:name w:val="??"/>
    <w:next w:val="1207"/>
    <w:link w:val="1068"/>
    <w:qFormat/>
    <w:pPr>
      <w:jc w:val="both"/>
      <w:widowControl w:val="off"/>
    </w:pPr>
    <w:rPr>
      <w:sz w:val="21"/>
      <w:lang w:val="en-US" w:eastAsia="en-US" w:bidi="ar-SA"/>
    </w:rPr>
  </w:style>
  <w:style w:type="paragraph" w:styleId="1208">
    <w:name w:val="样式 标题 2 + 宋体 五号 行距: 单倍行距"/>
    <w:basedOn w:val="1070"/>
    <w:next w:val="1208"/>
    <w:link w:val="106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09">
    <w:name w:val="List Paragraph1"/>
    <w:basedOn w:val="1068"/>
    <w:next w:val="1209"/>
    <w:link w:val="1068"/>
    <w:qFormat/>
    <w:pPr>
      <w:ind w:firstLine="420"/>
    </w:pPr>
    <w:rPr>
      <w:rFonts w:ascii="Calibri" w:hAnsi="Calibri"/>
      <w:szCs w:val="22"/>
    </w:rPr>
  </w:style>
  <w:style w:type="paragraph" w:styleId="1210">
    <w:name w:val="项目符号1"/>
    <w:basedOn w:val="1211"/>
    <w:next w:val="1210"/>
    <w:link w:val="1068"/>
    <w:qFormat/>
    <w:pPr>
      <w:ind w:left="-25" w:firstLine="0"/>
    </w:pPr>
  </w:style>
  <w:style w:type="paragraph" w:styleId="1211">
    <w:name w:val="正文文本样式"/>
    <w:basedOn w:val="1068"/>
    <w:next w:val="1211"/>
    <w:link w:val="1068"/>
    <w:qFormat/>
    <w:pPr>
      <w:ind w:firstLine="482"/>
      <w:spacing w:line="360" w:lineRule="auto"/>
    </w:pPr>
    <w:rPr>
      <w:rFonts w:cs="宋体"/>
      <w:sz w:val="24"/>
      <w:szCs w:val="20"/>
    </w:rPr>
  </w:style>
  <w:style w:type="paragraph" w:styleId="1212">
    <w:name w:val="xl27"/>
    <w:basedOn w:val="1068"/>
    <w:next w:val="1212"/>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3">
    <w:name w:val="font5"/>
    <w:basedOn w:val="1068"/>
    <w:next w:val="1213"/>
    <w:link w:val="1068"/>
    <w:qFormat/>
    <w:pPr>
      <w:jc w:val="left"/>
      <w:spacing w:before="100" w:beforeAutospacing="1" w:after="100" w:afterAutospacing="1"/>
      <w:widowControl/>
    </w:pPr>
    <w:rPr>
      <w:rFonts w:ascii="宋体" w:hAnsi="宋体" w:cs="宋体"/>
      <w:sz w:val="18"/>
      <w:szCs w:val="18"/>
    </w:rPr>
  </w:style>
  <w:style w:type="paragraph" w:styleId="1214">
    <w:name w:val="五级条标题"/>
    <w:basedOn w:val="1205"/>
    <w:next w:val="1068"/>
    <w:link w:val="1068"/>
    <w:qFormat/>
    <w:pPr>
      <w:numPr>
        <w:ilvl w:val="5"/>
      </w:numPr>
      <w:ind w:left="0" w:hanging="840"/>
      <w:tabs>
        <w:tab w:val="left" w:pos="360" w:leader="none"/>
        <w:tab w:val="left" w:pos="840" w:leader="none"/>
      </w:tabs>
      <w:outlineLvl w:val="5"/>
    </w:pPr>
  </w:style>
  <w:style w:type="paragraph" w:styleId="1215">
    <w:name w:val="xl49"/>
    <w:basedOn w:val="1068"/>
    <w:next w:val="1215"/>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6">
    <w:name w:val="文档正文"/>
    <w:basedOn w:val="1068"/>
    <w:next w:val="1216"/>
    <w:link w:val="1068"/>
    <w:qFormat/>
    <w:pPr>
      <w:spacing w:before="120" w:after="120" w:line="180" w:lineRule="auto"/>
    </w:pPr>
    <w:rPr>
      <w:rFonts w:ascii="Arial" w:hAnsi="Arial"/>
      <w:szCs w:val="20"/>
    </w:rPr>
  </w:style>
  <w:style w:type="paragraph" w:styleId="1217">
    <w:name w:val="xl33"/>
    <w:basedOn w:val="1068"/>
    <w:next w:val="1217"/>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8">
    <w:name w:val="xl42"/>
    <w:basedOn w:val="1068"/>
    <w:next w:val="1218"/>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9">
    <w:name w:val="Char Char Char1 Char"/>
    <w:basedOn w:val="1068"/>
    <w:next w:val="1219"/>
    <w:link w:val="1068"/>
    <w:qFormat/>
    <w:rPr>
      <w:rFonts w:ascii="Tahoma" w:hAnsi="Tahoma"/>
      <w:sz w:val="24"/>
      <w:szCs w:val="20"/>
    </w:rPr>
  </w:style>
  <w:style w:type="paragraph" w:styleId="1220">
    <w:name w:val="xl44"/>
    <w:basedOn w:val="1068"/>
    <w:next w:val="1220"/>
    <w:link w:val="106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1">
    <w:name w:val="1名"/>
    <w:basedOn w:val="1068"/>
    <w:next w:val="1221"/>
    <w:link w:val="1068"/>
    <w:qFormat/>
    <w:pPr>
      <w:numPr>
        <w:ilvl w:val="0"/>
        <w:numId w:val="5"/>
      </w:numPr>
      <w:spacing w:before="120"/>
      <w:tabs>
        <w:tab w:val="left" w:pos="360" w:leader="none"/>
      </w:tabs>
    </w:pPr>
    <w:rPr>
      <w:rFonts w:ascii="宋体"/>
      <w:sz w:val="28"/>
      <w:szCs w:val="20"/>
    </w:rPr>
  </w:style>
  <w:style w:type="paragraph" w:styleId="1222">
    <w:name w:val="font9"/>
    <w:basedOn w:val="1068"/>
    <w:next w:val="1222"/>
    <w:link w:val="1068"/>
    <w:qFormat/>
    <w:pPr>
      <w:jc w:val="left"/>
      <w:spacing w:before="100" w:beforeAutospacing="1" w:after="100" w:afterAutospacing="1"/>
      <w:widowControl/>
    </w:pPr>
    <w:rPr>
      <w:rFonts w:hint="eastAsia" w:ascii="宋体" w:hAnsi="宋体" w:cs="Arial Unicode MS"/>
      <w:color w:val="000000"/>
      <w:sz w:val="20"/>
      <w:szCs w:val="20"/>
    </w:rPr>
  </w:style>
  <w:style w:type="paragraph" w:styleId="1223">
    <w:name w:val="Char Char Char1 Char1"/>
    <w:basedOn w:val="1068"/>
    <w:next w:val="1223"/>
    <w:link w:val="1068"/>
    <w:qFormat/>
    <w:rPr>
      <w:rFonts w:ascii="Tahoma" w:hAnsi="Tahoma"/>
      <w:sz w:val="24"/>
      <w:szCs w:val="20"/>
    </w:rPr>
  </w:style>
  <w:style w:type="paragraph" w:styleId="1224">
    <w:name w:val="Char Char Char Char Char Char Char Char Char Char"/>
    <w:basedOn w:val="1068"/>
    <w:next w:val="1224"/>
    <w:link w:val="1068"/>
    <w:qFormat/>
  </w:style>
  <w:style w:type="paragraph" w:styleId="1225">
    <w:name w:val="Char Char1 Char Char Char Char Char Char Char Char"/>
    <w:basedOn w:val="1068"/>
    <w:next w:val="1225"/>
    <w:link w:val="1068"/>
    <w:qFormat/>
    <w:pPr>
      <w:jc w:val="left"/>
      <w:spacing w:after="160" w:line="240" w:lineRule="exact"/>
      <w:widowControl/>
    </w:pPr>
    <w:rPr>
      <w:rFonts w:ascii="Verdana" w:hAnsi="Verdana"/>
      <w:sz w:val="20"/>
      <w:szCs w:val="20"/>
      <w:lang w:eastAsia="en-US"/>
    </w:rPr>
  </w:style>
  <w:style w:type="paragraph" w:styleId="1226">
    <w:name w:val="Char1"/>
    <w:basedOn w:val="1068"/>
    <w:next w:val="1226"/>
    <w:link w:val="1068"/>
    <w:qFormat/>
    <w:pPr>
      <w:tabs>
        <w:tab w:val="left" w:pos="360" w:leader="none"/>
      </w:tabs>
    </w:pPr>
    <w:rPr>
      <w:sz w:val="24"/>
    </w:rPr>
  </w:style>
  <w:style w:type="paragraph" w:styleId="1227">
    <w:name w:val="正文列项_字母"/>
    <w:basedOn w:val="1068"/>
    <w:next w:val="1227"/>
    <w:link w:val="1068"/>
    <w:qFormat/>
    <w:pPr>
      <w:numPr>
        <w:ilvl w:val="6"/>
        <w:numId w:val="1"/>
      </w:numPr>
      <w:ind w:left="480" w:hanging="180"/>
      <w:spacing w:line="460" w:lineRule="exact"/>
      <w:tabs>
        <w:tab w:val="clear" w:pos="635" w:leader="none"/>
      </w:tabs>
      <w:outlineLvl w:val="6"/>
    </w:pPr>
    <w:rPr>
      <w:rFonts w:ascii="宋体"/>
      <w:sz w:val="28"/>
      <w:szCs w:val="20"/>
    </w:rPr>
  </w:style>
  <w:style w:type="paragraph" w:styleId="1228">
    <w:name w:val="xl28"/>
    <w:basedOn w:val="1068"/>
    <w:next w:val="1228"/>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9">
    <w:name w:val="xl47"/>
    <w:basedOn w:val="1068"/>
    <w:next w:val="1229"/>
    <w:link w:val="106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0">
    <w:name w:val="默认段落字体 Para Char Char Char Char"/>
    <w:basedOn w:val="1068"/>
    <w:next w:val="1230"/>
    <w:link w:val="1068"/>
    <w:qFormat/>
    <w:rPr>
      <w:rFonts w:ascii="Arial" w:hAnsi="Arial" w:cs="Arial"/>
      <w:szCs w:val="21"/>
    </w:rPr>
  </w:style>
  <w:style w:type="paragraph" w:styleId="1231">
    <w:name w:val="xl48"/>
    <w:basedOn w:val="1068"/>
    <w:next w:val="1231"/>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2">
    <w:name w:val="xl31"/>
    <w:basedOn w:val="1068"/>
    <w:next w:val="1232"/>
    <w:link w:val="10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3">
    <w:name w:val="xl53"/>
    <w:basedOn w:val="1068"/>
    <w:next w:val="1233"/>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Char Char Char"/>
    <w:basedOn w:val="1068"/>
    <w:next w:val="1234"/>
    <w:link w:val="1068"/>
    <w:qFormat/>
    <w:rPr>
      <w:rFonts w:ascii="Tahoma" w:hAnsi="Tahoma"/>
      <w:sz w:val="24"/>
      <w:szCs w:val="20"/>
    </w:rPr>
  </w:style>
  <w:style w:type="paragraph" w:styleId="1235">
    <w:name w:val="xl50"/>
    <w:basedOn w:val="1068"/>
    <w:next w:val="1235"/>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6">
    <w:name w:val="缺省文本"/>
    <w:basedOn w:val="1068"/>
    <w:next w:val="1236"/>
    <w:link w:val="1068"/>
    <w:qFormat/>
    <w:pPr>
      <w:jc w:val="left"/>
    </w:pPr>
    <w:rPr>
      <w:sz w:val="24"/>
    </w:rPr>
  </w:style>
  <w:style w:type="paragraph" w:styleId="1237">
    <w:name w:val="Char Char Char1"/>
    <w:basedOn w:val="1068"/>
    <w:next w:val="1237"/>
    <w:link w:val="1068"/>
    <w:qFormat/>
    <w:rPr>
      <w:rFonts w:ascii="Tahoma" w:hAnsi="Tahoma"/>
      <w:sz w:val="24"/>
      <w:szCs w:val="20"/>
    </w:rPr>
  </w:style>
  <w:style w:type="paragraph" w:styleId="1238">
    <w:name w:val="Char Char Char Char Char Char Char1"/>
    <w:basedOn w:val="1068"/>
    <w:next w:val="1238"/>
    <w:link w:val="1068"/>
    <w:qFormat/>
    <w:pPr>
      <w:ind w:firstLine="200"/>
      <w:spacing w:line="360" w:lineRule="auto"/>
    </w:pPr>
    <w:rPr>
      <w:rFonts w:eastAsia="仿宋_GB2312"/>
      <w:sz w:val="24"/>
    </w:rPr>
  </w:style>
  <w:style w:type="paragraph" w:styleId="1239">
    <w:name w:val="xl51"/>
    <w:basedOn w:val="1068"/>
    <w:next w:val="1239"/>
    <w:link w:val="10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0">
    <w:name w:val="样式2"/>
    <w:basedOn w:val="1130"/>
    <w:next w:val="1240"/>
    <w:link w:val="1068"/>
    <w:qFormat/>
    <w:pPr>
      <w:jc w:val="center"/>
      <w:spacing w:line="360" w:lineRule="auto"/>
    </w:pPr>
    <w:rPr>
      <w:sz w:val="24"/>
    </w:rPr>
  </w:style>
  <w:style w:type="paragraph" w:styleId="1241">
    <w:name w:val="xl24"/>
    <w:basedOn w:val="1068"/>
    <w:next w:val="1241"/>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xl29"/>
    <w:basedOn w:val="1068"/>
    <w:next w:val="1242"/>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3">
    <w:name w:val="正文 + 楷体_GB2312"/>
    <w:basedOn w:val="1068"/>
    <w:next w:val="1243"/>
    <w:link w:val="1068"/>
    <w:qFormat/>
    <w:pPr>
      <w:jc w:val="left"/>
      <w:widowControl/>
    </w:pPr>
    <w:rPr>
      <w:rFonts w:ascii="楷体_GB2312" w:eastAsia="楷体_GB2312" w:cs="Arial"/>
      <w:sz w:val="24"/>
    </w:rPr>
  </w:style>
  <w:style w:type="paragraph" w:styleId="1244">
    <w:name w:val="xl34"/>
    <w:basedOn w:val="1068"/>
    <w:next w:val="1244"/>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5">
    <w:name w:val="1 Char Char Char Char"/>
    <w:basedOn w:val="1068"/>
    <w:next w:val="1245"/>
    <w:link w:val="1068"/>
    <w:qFormat/>
    <w:rPr>
      <w:rFonts w:ascii="Tahoma" w:hAnsi="Tahoma"/>
      <w:sz w:val="24"/>
      <w:szCs w:val="20"/>
    </w:rPr>
  </w:style>
  <w:style w:type="paragraph" w:styleId="1246">
    <w:name w:val="Default"/>
    <w:next w:val="1246"/>
    <w:link w:val="1068"/>
    <w:qFormat/>
    <w:pPr>
      <w:widowControl w:val="off"/>
    </w:pPr>
    <w:rPr>
      <w:rFonts w:ascii="Symbol" w:hAnsi="Symbol" w:cs="Symbol"/>
      <w:color w:val="000000"/>
      <w:sz w:val="24"/>
      <w:szCs w:val="24"/>
      <w:lang w:val="en-US" w:eastAsia="zh-CN" w:bidi="ar-SA"/>
    </w:rPr>
  </w:style>
  <w:style w:type="paragraph" w:styleId="1247">
    <w:name w:val="列出段落1"/>
    <w:basedOn w:val="1068"/>
    <w:next w:val="1247"/>
    <w:link w:val="1068"/>
    <w:qFormat/>
    <w:pPr>
      <w:ind w:firstLine="420"/>
    </w:pPr>
    <w:rPr>
      <w:rFonts w:ascii="Calibri" w:hAnsi="Calibri"/>
      <w:szCs w:val="22"/>
    </w:rPr>
  </w:style>
  <w:style w:type="paragraph" w:styleId="1248">
    <w:name w:val="default"/>
    <w:basedOn w:val="1068"/>
    <w:next w:val="1248"/>
    <w:link w:val="1068"/>
    <w:qFormat/>
    <w:pPr>
      <w:jc w:val="left"/>
      <w:spacing w:before="100" w:beforeAutospacing="1" w:after="100" w:afterAutospacing="1"/>
      <w:widowControl/>
    </w:pPr>
    <w:rPr>
      <w:rFonts w:ascii="宋体" w:hAnsi="宋体" w:cs="宋体"/>
      <w:sz w:val="24"/>
    </w:rPr>
  </w:style>
  <w:style w:type="paragraph" w:styleId="1249">
    <w:name w:val="字元 字元1"/>
    <w:basedOn w:val="1068"/>
    <w:next w:val="1249"/>
    <w:link w:val="1068"/>
    <w:qFormat/>
    <w:rPr>
      <w:rFonts w:ascii="Tahoma" w:hAnsi="Tahoma"/>
      <w:sz w:val="24"/>
      <w:szCs w:val="20"/>
    </w:rPr>
  </w:style>
  <w:style w:type="paragraph" w:styleId="1250">
    <w:name w:val="_Style 160"/>
    <w:next w:val="1250"/>
    <w:link w:val="1068"/>
    <w:qFormat/>
    <w:rPr>
      <w:sz w:val="21"/>
      <w:szCs w:val="24"/>
      <w:lang w:val="en-US" w:eastAsia="zh-CN" w:bidi="ar-SA"/>
    </w:rPr>
  </w:style>
  <w:style w:type="paragraph" w:styleId="1251">
    <w:name w:val="项目编号3"/>
    <w:basedOn w:val="1211"/>
    <w:next w:val="1251"/>
    <w:link w:val="1068"/>
    <w:qFormat/>
    <w:pPr>
      <w:numPr>
        <w:ilvl w:val="0"/>
        <w:numId w:val="6"/>
      </w:numPr>
    </w:pPr>
  </w:style>
  <w:style w:type="paragraph" w:styleId="1252">
    <w:name w:val="Char21"/>
    <w:basedOn w:val="1068"/>
    <w:next w:val="1252"/>
    <w:link w:val="1068"/>
    <w:qFormat/>
    <w:rPr>
      <w:rFonts w:ascii="Tahoma" w:hAnsi="Tahoma"/>
      <w:sz w:val="24"/>
      <w:szCs w:val="20"/>
    </w:rPr>
  </w:style>
  <w:style w:type="paragraph" w:styleId="1253">
    <w:name w:val="表格文字"/>
    <w:basedOn w:val="1101"/>
    <w:next w:val="1253"/>
    <w:link w:val="1068"/>
    <w:qFormat/>
    <w:pPr>
      <w:ind w:firstLine="0"/>
      <w:spacing w:before="20" w:after="20" w:line="240" w:lineRule="auto"/>
    </w:pPr>
    <w:rPr>
      <w:rFonts w:ascii="Century Gothic" w:hAnsi="Century Gothic"/>
      <w:sz w:val="20"/>
      <w:szCs w:val="20"/>
    </w:rPr>
  </w:style>
  <w:style w:type="paragraph" w:styleId="1254">
    <w:name w:val="Char Char Char Char Char Char Char Char Char Char1"/>
    <w:basedOn w:val="1068"/>
    <w:next w:val="1254"/>
    <w:link w:val="1068"/>
    <w:qFormat/>
    <w:rPr>
      <w:rFonts w:ascii="宋体" w:hAnsi="宋体" w:cs="Courier New"/>
      <w:sz w:val="32"/>
      <w:szCs w:val="32"/>
    </w:rPr>
  </w:style>
  <w:style w:type="paragraph" w:styleId="1255">
    <w:name w:val="正文文本样式 加粗"/>
    <w:basedOn w:val="1211"/>
    <w:next w:val="1255"/>
    <w:link w:val="1068"/>
    <w:qFormat/>
    <w:rPr>
      <w:b/>
    </w:rPr>
  </w:style>
  <w:style w:type="paragraph" w:styleId="1256">
    <w:name w:val="Char2 Char Char Char Char Char Char"/>
    <w:basedOn w:val="1068"/>
    <w:next w:val="1256"/>
    <w:link w:val="1068"/>
    <w:qFormat/>
    <w:pPr>
      <w:jc w:val="center"/>
      <w:spacing w:line="400" w:lineRule="exact"/>
      <w:widowControl/>
    </w:pPr>
  </w:style>
  <w:style w:type="paragraph" w:styleId="1257">
    <w:name w:val="Char Char4"/>
    <w:basedOn w:val="1068"/>
    <w:next w:val="1257"/>
    <w:link w:val="1068"/>
    <w:qFormat/>
    <w:pPr>
      <w:jc w:val="center"/>
      <w:spacing w:line="400" w:lineRule="exact"/>
      <w:widowControl/>
    </w:pPr>
  </w:style>
  <w:style w:type="paragraph" w:styleId="1258">
    <w:name w:val="Char3 Char Char Char1"/>
    <w:basedOn w:val="1068"/>
    <w:next w:val="1258"/>
    <w:link w:val="1068"/>
    <w:qFormat/>
    <w:rPr>
      <w:rFonts w:ascii="Tahoma" w:hAnsi="Tahoma"/>
      <w:sz w:val="24"/>
      <w:szCs w:val="20"/>
    </w:rPr>
  </w:style>
  <w:style w:type="paragraph" w:styleId="1259">
    <w:name w:val="无间隔"/>
    <w:next w:val="1259"/>
    <w:link w:val="1068"/>
    <w:qFormat/>
    <w:pPr>
      <w:jc w:val="both"/>
      <w:widowControl w:val="off"/>
    </w:pPr>
    <w:rPr>
      <w:sz w:val="21"/>
      <w:szCs w:val="24"/>
      <w:lang w:val="en-US" w:eastAsia="zh-CN" w:bidi="ar-SA"/>
    </w:rPr>
  </w:style>
  <w:style w:type="paragraph" w:styleId="1260">
    <w:name w:val="22222222222222"/>
    <w:basedOn w:val="1068"/>
    <w:next w:val="1260"/>
    <w:link w:val="1068"/>
    <w:qFormat/>
    <w:pPr>
      <w:ind w:firstLine="480"/>
      <w:jc w:val="left"/>
      <w:spacing w:line="360" w:lineRule="auto"/>
      <w:widowControl/>
    </w:pPr>
    <w:rPr>
      <w:color w:val="ff0000"/>
      <w:sz w:val="24"/>
      <w:szCs w:val="20"/>
    </w:rPr>
  </w:style>
  <w:style w:type="character" w:styleId="1261">
    <w:name w:val="中等深浅网格 1 - 强调文字颜色 2 Char"/>
    <w:next w:val="1261"/>
    <w:link w:val="1262"/>
    <w:qFormat/>
    <w:rPr>
      <w:sz w:val="21"/>
      <w:szCs w:val="24"/>
      <w:lang w:val="zh-CN" w:eastAsia="zh-CN" w:bidi="ar-SA"/>
    </w:rPr>
  </w:style>
  <w:style w:type="paragraph" w:styleId="1262">
    <w:name w:val="1"/>
    <w:next w:val="1262"/>
    <w:link w:val="1261"/>
    <w:qFormat/>
    <w:rPr>
      <w:sz w:val="21"/>
      <w:szCs w:val="24"/>
      <w:lang w:val="zh-CN" w:eastAsia="zh-CN" w:bidi="ar-SA"/>
    </w:rPr>
  </w:style>
  <w:style w:type="paragraph" w:styleId="1263">
    <w:name w:val="图文"/>
    <w:basedOn w:val="1068"/>
    <w:next w:val="1263"/>
    <w:link w:val="1068"/>
    <w:qFormat/>
    <w:pPr>
      <w:spacing w:after="50" w:line="360" w:lineRule="auto"/>
    </w:pPr>
    <w:rPr>
      <w:sz w:val="24"/>
    </w:rPr>
  </w:style>
  <w:style w:type="paragraph" w:styleId="1264">
    <w:name w:val="xl23"/>
    <w:basedOn w:val="1068"/>
    <w:next w:val="1264"/>
    <w:link w:val="1068"/>
    <w:qFormat/>
    <w:pPr>
      <w:spacing w:before="100" w:beforeAutospacing="1" w:after="100" w:afterAutospacing="1" w:line="360" w:lineRule="auto"/>
      <w:widowControl/>
    </w:pPr>
    <w:rPr>
      <w:sz w:val="24"/>
      <w:szCs w:val="20"/>
    </w:rPr>
  </w:style>
  <w:style w:type="paragraph" w:styleId="1265">
    <w:name w:val="正文表格"/>
    <w:basedOn w:val="1068"/>
    <w:next w:val="1265"/>
    <w:link w:val="1266"/>
    <w:qFormat/>
    <w:pPr>
      <w:jc w:val="left"/>
    </w:pPr>
    <w:rPr>
      <w:rFonts w:ascii="宋体" w:hAnsi="宋体"/>
      <w:color w:val="000000"/>
      <w:szCs w:val="21"/>
    </w:rPr>
  </w:style>
  <w:style w:type="character" w:styleId="1266">
    <w:name w:val="正文表格 Char"/>
    <w:next w:val="1266"/>
    <w:link w:val="1265"/>
    <w:qFormat/>
    <w:rPr>
      <w:rFonts w:ascii="宋体" w:hAnsi="宋体"/>
      <w:color w:val="000000"/>
      <w:sz w:val="21"/>
      <w:szCs w:val="21"/>
    </w:rPr>
  </w:style>
  <w:style w:type="paragraph" w:styleId="1267">
    <w:name w:val="正文重点"/>
    <w:basedOn w:val="1068"/>
    <w:next w:val="1267"/>
    <w:link w:val="1268"/>
    <w:qFormat/>
    <w:pPr>
      <w:ind w:firstLine="482"/>
      <w:jc w:val="left"/>
      <w:spacing w:line="360" w:lineRule="auto"/>
    </w:pPr>
    <w:rPr>
      <w:b/>
      <w:sz w:val="24"/>
      <w:szCs w:val="20"/>
    </w:rPr>
  </w:style>
  <w:style w:type="character" w:styleId="1268">
    <w:name w:val="正文重点 Char"/>
    <w:next w:val="1268"/>
    <w:link w:val="1267"/>
    <w:qFormat/>
    <w:rPr>
      <w:b/>
      <w:sz w:val="24"/>
    </w:rPr>
  </w:style>
  <w:style w:type="paragraph" w:styleId="1269">
    <w:name w:val="标题1-附件"/>
    <w:basedOn w:val="1069"/>
    <w:next w:val="1269"/>
    <w:link w:val="1068"/>
    <w:qFormat/>
    <w:pPr>
      <w:jc w:val="left"/>
    </w:pPr>
    <w:rPr>
      <w:sz w:val="24"/>
      <w:szCs w:val="24"/>
    </w:rPr>
  </w:style>
  <w:style w:type="paragraph" w:styleId="1270">
    <w:name w:val="正文小标题"/>
    <w:basedOn w:val="1068"/>
    <w:next w:val="1082"/>
    <w:link w:val="1271"/>
    <w:qFormat/>
    <w:pPr>
      <w:ind w:firstLine="482"/>
      <w:jc w:val="left"/>
      <w:spacing w:before="312" w:after="312"/>
    </w:pPr>
    <w:rPr>
      <w:rFonts w:ascii="宋体" w:hAnsi="宋体"/>
      <w:b/>
      <w:i/>
      <w:color w:val="ff0000"/>
      <w:sz w:val="24"/>
      <w:szCs w:val="20"/>
    </w:rPr>
  </w:style>
  <w:style w:type="character" w:styleId="1271">
    <w:name w:val="正文小标题 Char"/>
    <w:next w:val="1271"/>
    <w:link w:val="1270"/>
    <w:qFormat/>
    <w:rPr>
      <w:rFonts w:ascii="宋体" w:hAnsi="宋体"/>
      <w:b/>
      <w:i/>
      <w:color w:val="ff0000"/>
      <w:sz w:val="24"/>
    </w:rPr>
  </w:style>
  <w:style w:type="paragraph" w:styleId="1272">
    <w:name w:val="正文大标题"/>
    <w:basedOn w:val="1270"/>
    <w:next w:val="1082"/>
    <w:link w:val="1273"/>
    <w:qFormat/>
    <w:pPr>
      <w:jc w:val="center"/>
    </w:pPr>
    <w:rPr>
      <w:i w:val="0"/>
      <w:color w:val="000000"/>
      <w:sz w:val="28"/>
      <w:szCs w:val="21"/>
    </w:rPr>
  </w:style>
  <w:style w:type="character" w:styleId="1273">
    <w:name w:val="正文大标题 Char"/>
    <w:next w:val="1273"/>
    <w:link w:val="1272"/>
    <w:qFormat/>
    <w:rPr>
      <w:rFonts w:ascii="宋体" w:hAnsi="宋体"/>
      <w:b/>
      <w:color w:val="000000"/>
      <w:sz w:val="28"/>
      <w:szCs w:val="21"/>
    </w:rPr>
  </w:style>
  <w:style w:type="paragraph" w:styleId="1274">
    <w:name w:val="注释"/>
    <w:basedOn w:val="1068"/>
    <w:next w:val="1274"/>
    <w:link w:val="1275"/>
    <w:qFormat/>
    <w:pPr>
      <w:ind w:left="420" w:hanging="420"/>
      <w:jc w:val="left"/>
    </w:pPr>
    <w:rPr>
      <w:rFonts w:ascii="宋体" w:hAnsi="宋体"/>
      <w:szCs w:val="21"/>
    </w:rPr>
  </w:style>
  <w:style w:type="character" w:styleId="1275">
    <w:name w:val="注释 Char"/>
    <w:next w:val="1275"/>
    <w:link w:val="1274"/>
    <w:qFormat/>
    <w:rPr>
      <w:rFonts w:ascii="宋体" w:hAnsi="宋体"/>
      <w:sz w:val="21"/>
      <w:szCs w:val="21"/>
    </w:rPr>
  </w:style>
  <w:style w:type="paragraph" w:styleId="1276">
    <w:name w:val="正文须知-1级"/>
    <w:basedOn w:val="1068"/>
    <w:next w:val="1068"/>
    <w:link w:val="1068"/>
    <w:qFormat/>
    <w:pPr>
      <w:numPr>
        <w:ilvl w:val="0"/>
        <w:numId w:val="7"/>
      </w:numPr>
      <w:spacing w:line="300" w:lineRule="auto"/>
    </w:pPr>
    <w:rPr>
      <w:rFonts w:ascii="宋体" w:hAnsi="Calibri"/>
      <w:sz w:val="24"/>
      <w:szCs w:val="21"/>
    </w:rPr>
  </w:style>
  <w:style w:type="paragraph" w:styleId="1277">
    <w:name w:val="正文须知-2级"/>
    <w:basedOn w:val="1068"/>
    <w:next w:val="1277"/>
    <w:link w:val="1068"/>
    <w:qFormat/>
    <w:pPr>
      <w:numPr>
        <w:ilvl w:val="1"/>
        <w:numId w:val="7"/>
      </w:numPr>
      <w:spacing w:line="300" w:lineRule="auto"/>
    </w:pPr>
    <w:rPr>
      <w:rFonts w:ascii="宋体" w:hAnsi="Calibri"/>
      <w:sz w:val="24"/>
      <w:szCs w:val="21"/>
    </w:rPr>
  </w:style>
  <w:style w:type="paragraph" w:styleId="1278">
    <w:name w:val="正文须知-3级"/>
    <w:basedOn w:val="1068"/>
    <w:next w:val="1278"/>
    <w:link w:val="1068"/>
    <w:qFormat/>
    <w:pPr>
      <w:numPr>
        <w:ilvl w:val="2"/>
        <w:numId w:val="7"/>
      </w:numPr>
      <w:ind w:hanging="355"/>
      <w:spacing w:line="300" w:lineRule="auto"/>
    </w:pPr>
    <w:rPr>
      <w:rFonts w:ascii="宋体" w:hAnsi="Calibri"/>
      <w:sz w:val="24"/>
      <w:szCs w:val="21"/>
    </w:rPr>
  </w:style>
  <w:style w:type="character" w:styleId="1279">
    <w:name w:val="纯文本 字符"/>
    <w:next w:val="1279"/>
    <w:link w:val="1068"/>
    <w:uiPriority w:val="99"/>
    <w:qFormat/>
    <w:rPr>
      <w:rFonts w:ascii="宋体" w:hAnsi="Courier New" w:eastAsia="宋体" w:cs="Times New Roman"/>
      <w:sz w:val="21"/>
      <w:szCs w:val="21"/>
      <w:lang w:val="en-US" w:eastAsia="zh-CN" w:bidi="ar-SA"/>
    </w:rPr>
  </w:style>
  <w:style w:type="paragraph" w:styleId="1280">
    <w:name w:val="表格1"/>
    <w:basedOn w:val="1068"/>
    <w:next w:val="1280"/>
    <w:link w:val="1068"/>
    <w:qFormat/>
    <w:pPr>
      <w:ind w:firstLine="480"/>
      <w:jc w:val="center"/>
    </w:pPr>
    <w:rPr>
      <w:sz w:val="24"/>
      <w:szCs w:val="20"/>
    </w:rPr>
  </w:style>
  <w:style w:type="character" w:styleId="1281">
    <w:name w:val="纯文本 字符1"/>
    <w:next w:val="1281"/>
    <w:link w:val="1068"/>
    <w:qFormat/>
    <w:rPr>
      <w:rFonts w:ascii="宋体" w:hAnsi="Courier New"/>
    </w:rPr>
  </w:style>
  <w:style w:type="character" w:styleId="1282">
    <w:name w:val="bjh-p"/>
    <w:next w:val="1282"/>
    <w:link w:val="1068"/>
    <w:qFormat/>
  </w:style>
  <w:style w:type="paragraph" w:styleId="1283">
    <w:name w:val="无标题条"/>
    <w:next w:val="1068"/>
    <w:link w:val="1068"/>
    <w:qFormat/>
    <w:pPr>
      <w:jc w:val="both"/>
    </w:pPr>
    <w:rPr>
      <w:sz w:val="21"/>
      <w:lang w:val="en-US" w:eastAsia="zh-CN" w:bidi="ar-SA"/>
    </w:rPr>
  </w:style>
  <w:style w:type="character" w:styleId="1284">
    <w:name w:val="正文格式 Char"/>
    <w:next w:val="1284"/>
    <w:link w:val="1285"/>
    <w:qFormat/>
    <w:rPr>
      <w:rFonts w:ascii="宋体" w:hAnsi="宋体"/>
      <w:sz w:val="24"/>
      <w:szCs w:val="24"/>
      <w:lang w:val="en-GB"/>
    </w:rPr>
  </w:style>
  <w:style w:type="paragraph" w:styleId="1285">
    <w:name w:val="正文格式"/>
    <w:basedOn w:val="1068"/>
    <w:next w:val="1285"/>
    <w:link w:val="1284"/>
    <w:qFormat/>
    <w:pPr>
      <w:ind w:firstLine="480"/>
      <w:spacing w:line="360" w:lineRule="auto"/>
    </w:pPr>
    <w:rPr>
      <w:rFonts w:ascii="宋体" w:hAnsi="宋体"/>
      <w:sz w:val="24"/>
      <w:lang w:val="en-GB"/>
    </w:rPr>
  </w:style>
  <w:style w:type="character" w:styleId="1286">
    <w:name w:val="标题 3 Char"/>
    <w:next w:val="1286"/>
    <w:link w:val="1068"/>
    <w:qFormat/>
    <w:rPr>
      <w:rFonts w:ascii="宋体" w:eastAsia="宋体"/>
      <w:b/>
      <w:sz w:val="24"/>
      <w:u w:val="single"/>
      <w:lang w:val="en-US" w:eastAsia="zh-CN" w:bidi="ar-SA"/>
    </w:rPr>
  </w:style>
  <w:style w:type="character" w:styleId="1287">
    <w:name w:val="正文缩进 Char"/>
    <w:next w:val="1287"/>
    <w:link w:val="1068"/>
    <w:qFormat/>
    <w:rPr>
      <w:rFonts w:ascii="宋体" w:eastAsia="宋体"/>
      <w:sz w:val="24"/>
      <w:szCs w:val="24"/>
      <w:lang w:val="en-US" w:eastAsia="zh-CN" w:bidi="ar-SA"/>
    </w:rPr>
  </w:style>
  <w:style w:type="character" w:styleId="1288">
    <w:name w:val="Char Char111"/>
    <w:next w:val="1288"/>
    <w:link w:val="1068"/>
    <w:qFormat/>
    <w:rPr>
      <w:rFonts w:ascii="宋体" w:eastAsia="宋体"/>
      <w:b/>
      <w:sz w:val="24"/>
      <w:u w:val="single"/>
      <w:lang w:val="en-US" w:eastAsia="zh-CN" w:bidi="ar-SA"/>
    </w:rPr>
  </w:style>
  <w:style w:type="character" w:styleId="1289">
    <w:name w:val="正文文本缩进 Char"/>
    <w:next w:val="1289"/>
    <w:link w:val="1068"/>
    <w:qFormat/>
    <w:rPr>
      <w:rFonts w:eastAsia="宋体"/>
      <w:sz w:val="24"/>
      <w:szCs w:val="24"/>
      <w:lang w:val="en-US" w:eastAsia="zh-CN" w:bidi="ar-SA"/>
    </w:rPr>
  </w:style>
  <w:style w:type="character" w:styleId="1290">
    <w:name w:val="列出段落 Char"/>
    <w:next w:val="1290"/>
    <w:link w:val="1068"/>
    <w:qFormat/>
    <w:rPr>
      <w:rFonts w:ascii="Calibri" w:hAnsi="Calibri" w:eastAsia="宋体"/>
      <w:sz w:val="21"/>
      <w:szCs w:val="22"/>
      <w:lang w:val="en-US" w:eastAsia="zh-CN" w:bidi="ar-SA"/>
    </w:rPr>
  </w:style>
  <w:style w:type="character" w:styleId="1291">
    <w:name w:val="页眉 Char"/>
    <w:next w:val="1291"/>
    <w:link w:val="1068"/>
    <w:qFormat/>
    <w:rPr>
      <w:rFonts w:eastAsia="宋体"/>
      <w:sz w:val="18"/>
      <w:szCs w:val="18"/>
      <w:lang w:val="en-US" w:eastAsia="zh-CN" w:bidi="ar-SA"/>
    </w:rPr>
  </w:style>
  <w:style w:type="character" w:styleId="1292">
    <w:name w:val="标题 2 Char"/>
    <w:next w:val="1292"/>
    <w:link w:val="1068"/>
    <w:qFormat/>
    <w:rPr>
      <w:rFonts w:ascii="Arial" w:hAnsi="Arial" w:eastAsia="黑体"/>
      <w:b/>
      <w:sz w:val="30"/>
      <w:lang w:val="en-US" w:eastAsia="zh-CN" w:bidi="ar-SA"/>
    </w:rPr>
  </w:style>
  <w:style w:type="paragraph" w:styleId="1293">
    <w:name w:val="字元 字元2"/>
    <w:basedOn w:val="1068"/>
    <w:next w:val="1293"/>
    <w:link w:val="1068"/>
    <w:qFormat/>
    <w:rPr>
      <w:rFonts w:ascii="Tahoma" w:hAnsi="Tahoma"/>
      <w:sz w:val="24"/>
      <w:szCs w:val="20"/>
    </w:rPr>
  </w:style>
  <w:style w:type="paragraph" w:styleId="1294">
    <w:name w:val="Char3 Char Char Char2"/>
    <w:basedOn w:val="1068"/>
    <w:next w:val="1294"/>
    <w:link w:val="1068"/>
    <w:qFormat/>
    <w:rPr>
      <w:rFonts w:ascii="Tahoma" w:hAnsi="Tahoma"/>
      <w:sz w:val="24"/>
      <w:szCs w:val="20"/>
    </w:rPr>
  </w:style>
  <w:style w:type="paragraph" w:styleId="1295">
    <w:name w:val="正文文本缩进2"/>
    <w:basedOn w:val="1068"/>
    <w:next w:val="1295"/>
    <w:link w:val="1068"/>
    <w:qFormat/>
    <w:pPr>
      <w:ind w:firstLine="480"/>
      <w:spacing w:line="480" w:lineRule="exact"/>
    </w:pPr>
    <w:rPr>
      <w:rFonts w:ascii="宋体" w:hAnsi="宋体"/>
      <w:sz w:val="24"/>
      <w:lang w:val="zh-CN" w:eastAsia="zh-CN"/>
    </w:rPr>
  </w:style>
  <w:style w:type="paragraph" w:styleId="1296">
    <w:name w:val="Char3"/>
    <w:basedOn w:val="1068"/>
    <w:next w:val="1296"/>
    <w:link w:val="1068"/>
    <w:qFormat/>
    <w:pPr>
      <w:tabs>
        <w:tab w:val="left" w:pos="360" w:leader="none"/>
      </w:tabs>
    </w:pPr>
    <w:rPr>
      <w:sz w:val="24"/>
    </w:rPr>
  </w:style>
  <w:style w:type="paragraph" w:styleId="1297">
    <w:name w:val="Char Char Char Char Char Char Char Char Char Char Char Char Char Char Char Char1"/>
    <w:basedOn w:val="1068"/>
    <w:next w:val="1297"/>
    <w:link w:val="1068"/>
    <w:qFormat/>
    <w:pPr>
      <w:jc w:val="center"/>
      <w:spacing w:after="160" w:line="240" w:lineRule="exact"/>
      <w:widowControl/>
    </w:pPr>
    <w:rPr>
      <w:rFonts w:ascii="宋体" w:hAnsi="宋体"/>
      <w:b/>
      <w:sz w:val="30"/>
      <w:szCs w:val="30"/>
      <w:lang w:eastAsia="en-US"/>
    </w:rPr>
  </w:style>
  <w:style w:type="paragraph" w:styleId="1298">
    <w:name w:val="Char Char1 Char Char Char Char Char Char1"/>
    <w:basedOn w:val="1068"/>
    <w:next w:val="1298"/>
    <w:link w:val="1068"/>
    <w:qFormat/>
    <w:pPr>
      <w:jc w:val="left"/>
      <w:spacing w:after="160" w:line="240" w:lineRule="exact"/>
      <w:widowControl/>
    </w:pPr>
    <w:rPr>
      <w:rFonts w:ascii="Verdana" w:hAnsi="Verdana" w:eastAsia="仿宋_GB2312"/>
      <w:sz w:val="24"/>
      <w:szCs w:val="20"/>
      <w:lang w:eastAsia="en-US"/>
    </w:rPr>
  </w:style>
  <w:style w:type="paragraph" w:styleId="1299">
    <w:name w:val="列出段落2"/>
    <w:basedOn w:val="1068"/>
    <w:next w:val="1299"/>
    <w:link w:val="1068"/>
    <w:qFormat/>
    <w:pPr>
      <w:ind w:firstLine="420"/>
    </w:pPr>
    <w:rPr>
      <w:rFonts w:ascii="Calibri" w:hAnsi="Calibri"/>
      <w:szCs w:val="22"/>
    </w:rPr>
  </w:style>
  <w:style w:type="paragraph" w:styleId="1300">
    <w:name w:val="Char Char Char1 Char2"/>
    <w:basedOn w:val="1068"/>
    <w:next w:val="1300"/>
    <w:link w:val="1068"/>
    <w:qFormat/>
    <w:rPr>
      <w:rFonts w:ascii="Tahoma" w:hAnsi="Tahoma"/>
      <w:sz w:val="24"/>
      <w:szCs w:val="20"/>
    </w:rPr>
  </w:style>
  <w:style w:type="paragraph" w:styleId="1301">
    <w:name w:val="Char Char Char2"/>
    <w:basedOn w:val="1068"/>
    <w:next w:val="1301"/>
    <w:link w:val="1068"/>
    <w:qFormat/>
    <w:rPr>
      <w:rFonts w:ascii="Tahoma" w:hAnsi="Tahoma"/>
      <w:sz w:val="24"/>
      <w:szCs w:val="20"/>
    </w:rPr>
  </w:style>
  <w:style w:type="paragraph" w:styleId="1302">
    <w:name w:val="Char Char Char Char Char Char Char2"/>
    <w:basedOn w:val="1068"/>
    <w:next w:val="1302"/>
    <w:link w:val="1068"/>
    <w:qFormat/>
    <w:pPr>
      <w:ind w:firstLine="200"/>
      <w:spacing w:line="360" w:lineRule="auto"/>
    </w:pPr>
    <w:rPr>
      <w:rFonts w:eastAsia="仿宋_GB2312"/>
      <w:sz w:val="24"/>
    </w:rPr>
  </w:style>
  <w:style w:type="paragraph" w:styleId="1303">
    <w:name w:val="正文缩进2"/>
    <w:basedOn w:val="1068"/>
    <w:next w:val="1303"/>
    <w:link w:val="1068"/>
    <w:qFormat/>
    <w:pPr>
      <w:ind w:firstLine="567"/>
      <w:spacing w:line="480" w:lineRule="exact"/>
      <w:widowControl/>
    </w:pPr>
    <w:rPr>
      <w:rFonts w:ascii="宋体"/>
      <w:color w:val="000000"/>
      <w:sz w:val="28"/>
      <w:szCs w:val="20"/>
      <w:lang w:val="zh-CN" w:eastAsia="zh-CN"/>
    </w:rPr>
  </w:style>
  <w:style w:type="paragraph" w:styleId="1304">
    <w:name w:val="Revision"/>
    <w:next w:val="1304"/>
    <w:link w:val="1068"/>
    <w:qFormat/>
    <w:rPr>
      <w:sz w:val="21"/>
      <w:szCs w:val="24"/>
      <w:lang w:val="en-US" w:eastAsia="zh-CN" w:bidi="ar-SA"/>
    </w:rPr>
  </w:style>
  <w:style w:type="paragraph" w:styleId="1305">
    <w:name w:val="Char22"/>
    <w:basedOn w:val="1068"/>
    <w:next w:val="1305"/>
    <w:link w:val="1068"/>
    <w:qFormat/>
    <w:rPr>
      <w:rFonts w:ascii="Tahoma" w:hAnsi="Tahoma"/>
      <w:sz w:val="24"/>
      <w:szCs w:val="20"/>
    </w:rPr>
  </w:style>
  <w:style w:type="paragraph" w:styleId="1306">
    <w:name w:val="Char Char Char Char Char Char Char Char Char Char2"/>
    <w:basedOn w:val="1068"/>
    <w:next w:val="1306"/>
    <w:link w:val="1068"/>
    <w:qFormat/>
    <w:rPr>
      <w:rFonts w:ascii="宋体" w:hAnsi="宋体" w:cs="Courier New"/>
      <w:sz w:val="32"/>
      <w:szCs w:val="32"/>
    </w:rPr>
  </w:style>
  <w:style w:type="paragraph" w:styleId="1307">
    <w:name w:val="Char2 Char Char Char Char Char Char1"/>
    <w:basedOn w:val="1068"/>
    <w:next w:val="1307"/>
    <w:link w:val="1068"/>
    <w:qFormat/>
    <w:pPr>
      <w:jc w:val="center"/>
      <w:spacing w:line="400" w:lineRule="exact"/>
      <w:widowControl/>
    </w:pPr>
  </w:style>
  <w:style w:type="character" w:styleId="1308">
    <w:name w:val="页脚 Char"/>
    <w:next w:val="1308"/>
    <w:link w:val="1068"/>
    <w:qFormat/>
    <w:rPr>
      <w:rFonts w:ascii="宋体" w:eastAsia="宋体"/>
      <w:sz w:val="18"/>
      <w:lang w:val="en-US" w:eastAsia="zh-CN" w:bidi="ar-SA"/>
    </w:rPr>
  </w:style>
  <w:style w:type="paragraph" w:styleId="1309">
    <w:name w:val="Char Char41"/>
    <w:basedOn w:val="1068"/>
    <w:next w:val="1309"/>
    <w:link w:val="1068"/>
    <w:qFormat/>
    <w:pPr>
      <w:jc w:val="center"/>
      <w:spacing w:line="400" w:lineRule="exact"/>
      <w:widowControl/>
    </w:pPr>
  </w:style>
  <w:style w:type="character" w:styleId="1310">
    <w:name w:val="批注文字 Char"/>
    <w:next w:val="1310"/>
    <w:link w:val="1068"/>
    <w:uiPriority w:val="99"/>
    <w:qFormat/>
    <w:rPr>
      <w:sz w:val="21"/>
      <w:szCs w:val="24"/>
    </w:rPr>
  </w:style>
  <w:style w:type="character" w:styleId="1311">
    <w:name w:val="标题 Char"/>
    <w:next w:val="1311"/>
    <w:link w:val="1068"/>
    <w:qFormat/>
    <w:rPr>
      <w:b/>
      <w:sz w:val="32"/>
    </w:rPr>
  </w:style>
  <w:style w:type="paragraph" w:styleId="1312">
    <w:name w:val="图例"/>
    <w:basedOn w:val="1068"/>
    <w:next w:val="1312"/>
    <w:link w:val="1068"/>
    <w:qFormat/>
    <w:pPr>
      <w:jc w:val="center"/>
      <w:spacing w:before="120" w:after="120" w:line="360" w:lineRule="auto"/>
    </w:pPr>
    <w:rPr>
      <w:rFonts w:eastAsia="仿宋_GB2312"/>
      <w:b/>
      <w:sz w:val="24"/>
      <w:szCs w:val="20"/>
    </w:rPr>
  </w:style>
  <w:style w:type="table" w:styleId="1313">
    <w:name w:val="Table Normal"/>
    <w:next w:val="1313"/>
    <w:link w:val="1068"/>
    <w:uiPriority w:val="2"/>
    <w:unhideWhenUsed/>
    <w:qFormat/>
    <w:pPr>
      <w:widowControl w:val="off"/>
    </w:pPr>
    <w:rPr>
      <w:rFonts w:ascii="Calibri" w:hAnsi="Calibri"/>
      <w:sz w:val="22"/>
      <w:szCs w:val="22"/>
      <w:lang w:val="en-US" w:eastAsia="en-US" w:bidi="ar-SA"/>
    </w:rPr>
    <w:tblPr/>
  </w:style>
  <w:style w:type="paragraph" w:styleId="1314">
    <w:name w:val="Table Paragraph"/>
    <w:basedOn w:val="1068"/>
    <w:next w:val="1314"/>
    <w:link w:val="1068"/>
    <w:uiPriority w:val="1"/>
    <w:qFormat/>
    <w:pPr>
      <w:jc w:val="left"/>
    </w:pPr>
    <w:rPr>
      <w:rFonts w:ascii="宋体" w:hAnsi="宋体" w:cs="宋体"/>
      <w:sz w:val="22"/>
      <w:szCs w:val="22"/>
      <w:lang w:eastAsia="en-US"/>
    </w:rPr>
  </w:style>
  <w:style w:type="paragraph" w:styleId="1315">
    <w:name w:val="成文日期"/>
    <w:basedOn w:val="1068"/>
    <w:next w:val="1315"/>
    <w:link w:val="1316"/>
    <w:qFormat/>
    <w:pPr>
      <w:ind w:right="400" w:firstLine="200"/>
      <w:jc w:val="right"/>
      <w:spacing w:line="570" w:lineRule="exact"/>
    </w:pPr>
    <w:rPr>
      <w:rFonts w:ascii="仿宋_GB2312" w:eastAsia="仿宋_GB2312"/>
      <w:sz w:val="32"/>
      <w:szCs w:val="20"/>
    </w:rPr>
  </w:style>
  <w:style w:type="character" w:styleId="1316">
    <w:name w:val="成文日期 Char"/>
    <w:next w:val="1316"/>
    <w:link w:val="1315"/>
    <w:rPr>
      <w:rFonts w:ascii="仿宋_GB2312" w:eastAsia="仿宋_GB2312"/>
      <w:sz w:val="32"/>
    </w:rPr>
  </w:style>
  <w:style w:type="paragraph" w:styleId="1317">
    <w:name w:val="修订"/>
    <w:next w:val="1317"/>
    <w:link w:val="1068"/>
    <w:uiPriority w:val="99"/>
    <w:unhideWhenUsed/>
    <w:rPr>
      <w:sz w:val="21"/>
      <w:szCs w:val="24"/>
      <w:lang w:val="en-US" w:eastAsia="zh-CN" w:bidi="ar-SA"/>
    </w:rPr>
  </w:style>
  <w:style w:type="character" w:styleId="1318">
    <w:name w:val="正文缩进 字符"/>
    <w:next w:val="1318"/>
    <w:link w:val="1068"/>
    <w:uiPriority w:val="99"/>
    <w:qFormat/>
    <w:rPr>
      <w:rFonts w:ascii="宋体" w:hAnsi="Times New Roman" w:eastAsia="宋体" w:cs="Times New Roman"/>
      <w:sz w:val="24"/>
    </w:rPr>
  </w:style>
  <w:style w:type="character" w:styleId="1319">
    <w:name w:val="正文文本 字符"/>
    <w:next w:val="1319"/>
    <w:link w:val="1068"/>
    <w:qFormat/>
    <w:rPr>
      <w:rFonts w:ascii="宋体" w:hAnsi="宋体"/>
      <w:sz w:val="24"/>
      <w:szCs w:val="24"/>
    </w:rPr>
  </w:style>
  <w:style w:type="paragraph" w:styleId="1320">
    <w:name w:val="纯文本1"/>
    <w:next w:val="1121"/>
    <w:link w:val="1068"/>
    <w:qFormat/>
    <w:pPr>
      <w:jc w:val="both"/>
      <w:widowControl w:val="off"/>
    </w:pPr>
    <w:rPr>
      <w:rFonts w:ascii="宋体" w:hAnsi="宋体"/>
      <w:sz w:val="26"/>
      <w:szCs w:val="24"/>
      <w:lang w:val="en-US" w:eastAsia="zh-CN" w:bidi="ar-SA"/>
    </w:rPr>
  </w:style>
  <w:style w:type="paragraph" w:styleId="1321">
    <w:name w:val="AONormal"/>
    <w:next w:val="1321"/>
    <w:link w:val="1068"/>
    <w:qFormat/>
    <w:pPr>
      <w:ind w:firstLine="440"/>
      <w:spacing w:line="400" w:lineRule="exact"/>
    </w:pPr>
    <w:rPr>
      <w:rFonts w:ascii="华文楷体" w:hAnsi="华文楷体" w:eastAsia="华文楷体" w:cs="华文楷体"/>
      <w:sz w:val="22"/>
      <w:szCs w:val="21"/>
      <w:lang w:val="en-US" w:eastAsia="zh-CN" w:bidi="ar-SA"/>
    </w:rPr>
  </w:style>
  <w:style w:type="character" w:styleId="1322" w:default="1">
    <w:name w:val="Default Paragraph Font"/>
    <w:uiPriority w:val="1"/>
    <w:semiHidden/>
    <w:unhideWhenUsed/>
  </w:style>
  <w:style w:type="numbering" w:styleId="1323" w:default="1">
    <w:name w:val="No List"/>
    <w:uiPriority w:val="99"/>
    <w:semiHidden/>
    <w:unhideWhenUsed/>
  </w:style>
  <w:style w:type="table" w:styleId="13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王逸菲</cp:lastModifiedBy>
  <cp:revision>4</cp:revision>
  <dcterms:created xsi:type="dcterms:W3CDTF">2022-05-30T08:08:00Z</dcterms:created>
  <dcterms:modified xsi:type="dcterms:W3CDTF">2026-01-04T06:26:20Z</dcterms:modified>
</cp:coreProperties>
</file>